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A50" w:rsidRDefault="002C4A50" w:rsidP="002C4A50">
      <w:pPr>
        <w:widowControl/>
        <w:shd w:val="clear" w:color="auto" w:fill="FFFFFF"/>
        <w:jc w:val="center"/>
        <w:outlineLvl w:val="0"/>
        <w:rPr>
          <w:rFonts w:ascii="AdobeHeitiStd-Regular" w:eastAsia="宋体" w:hAnsi="AdobeHeitiStd-Regular" w:cs="宋体"/>
          <w:color w:val="BF0103"/>
          <w:kern w:val="36"/>
          <w:sz w:val="39"/>
          <w:szCs w:val="39"/>
        </w:rPr>
      </w:pPr>
      <w:r>
        <w:rPr>
          <w:rFonts w:ascii="AdobeHeitiStd-Regular" w:eastAsia="宋体" w:hAnsi="AdobeHeitiStd-Regular" w:cs="宋体"/>
          <w:noProof/>
          <w:color w:val="BF0103"/>
          <w:kern w:val="36"/>
          <w:sz w:val="39"/>
          <w:szCs w:val="39"/>
          <w:lang w:val="zh-CN"/>
        </w:rPr>
        <w:drawing>
          <wp:anchor distT="0" distB="0" distL="114300" distR="114300" simplePos="0" relativeHeight="251659264" behindDoc="0" locked="0" layoutInCell="1" allowOverlap="1">
            <wp:simplePos x="0" y="0"/>
            <wp:positionH relativeFrom="column">
              <wp:posOffset>-685800</wp:posOffset>
            </wp:positionH>
            <wp:positionV relativeFrom="paragraph">
              <wp:posOffset>-411480</wp:posOffset>
            </wp:positionV>
            <wp:extent cx="6901142" cy="28041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4">
                      <a:extLst>
                        <a:ext uri="{28A0092B-C50C-407E-A947-70E740481C1C}">
                          <a14:useLocalDpi xmlns:a14="http://schemas.microsoft.com/office/drawing/2010/main" val="0"/>
                        </a:ext>
                      </a:extLst>
                    </a:blip>
                    <a:stretch>
                      <a:fillRect/>
                    </a:stretch>
                  </pic:blipFill>
                  <pic:spPr>
                    <a:xfrm>
                      <a:off x="0" y="0"/>
                      <a:ext cx="6901142" cy="2804160"/>
                    </a:xfrm>
                    <a:prstGeom prst="rect">
                      <a:avLst/>
                    </a:prstGeom>
                  </pic:spPr>
                </pic:pic>
              </a:graphicData>
            </a:graphic>
            <wp14:sizeRelH relativeFrom="page">
              <wp14:pctWidth>0</wp14:pctWidth>
            </wp14:sizeRelH>
            <wp14:sizeRelV relativeFrom="page">
              <wp14:pctHeight>0</wp14:pctHeight>
            </wp14:sizeRelV>
          </wp:anchor>
        </w:drawing>
      </w:r>
    </w:p>
    <w:p w:rsidR="002C4A50" w:rsidRDefault="002C4A50" w:rsidP="002C4A50">
      <w:pPr>
        <w:widowControl/>
        <w:shd w:val="clear" w:color="auto" w:fill="FFFFFF"/>
        <w:jc w:val="center"/>
        <w:outlineLvl w:val="0"/>
        <w:rPr>
          <w:rFonts w:ascii="AdobeHeitiStd-Regular" w:eastAsia="宋体" w:hAnsi="AdobeHeitiStd-Regular" w:cs="宋体"/>
          <w:color w:val="BF0103"/>
          <w:kern w:val="36"/>
          <w:sz w:val="39"/>
          <w:szCs w:val="39"/>
        </w:rPr>
      </w:pPr>
    </w:p>
    <w:p w:rsidR="002C4A50" w:rsidRDefault="002C4A50" w:rsidP="002C4A50">
      <w:pPr>
        <w:widowControl/>
        <w:shd w:val="clear" w:color="auto" w:fill="FFFFFF"/>
        <w:jc w:val="center"/>
        <w:outlineLvl w:val="0"/>
        <w:rPr>
          <w:rFonts w:ascii="AdobeHeitiStd-Regular" w:eastAsia="宋体" w:hAnsi="AdobeHeitiStd-Regular" w:cs="宋体"/>
          <w:color w:val="BF0103"/>
          <w:kern w:val="36"/>
          <w:sz w:val="39"/>
          <w:szCs w:val="39"/>
        </w:rPr>
      </w:pPr>
    </w:p>
    <w:p w:rsidR="002C4A50" w:rsidRDefault="002C4A50" w:rsidP="002C4A50">
      <w:pPr>
        <w:widowControl/>
        <w:shd w:val="clear" w:color="auto" w:fill="FFFFFF"/>
        <w:jc w:val="center"/>
        <w:outlineLvl w:val="0"/>
        <w:rPr>
          <w:rFonts w:ascii="AdobeHeitiStd-Regular" w:eastAsia="宋体" w:hAnsi="AdobeHeitiStd-Regular" w:cs="宋体"/>
          <w:color w:val="BF0103"/>
          <w:kern w:val="36"/>
          <w:sz w:val="39"/>
          <w:szCs w:val="39"/>
        </w:rPr>
      </w:pPr>
    </w:p>
    <w:p w:rsidR="002C4A50" w:rsidRDefault="002C4A50" w:rsidP="002C4A50">
      <w:pPr>
        <w:widowControl/>
        <w:shd w:val="clear" w:color="auto" w:fill="FFFFFF"/>
        <w:jc w:val="center"/>
        <w:outlineLvl w:val="0"/>
        <w:rPr>
          <w:rFonts w:ascii="AdobeHeitiStd-Regular" w:eastAsia="宋体" w:hAnsi="AdobeHeitiStd-Regular" w:cs="宋体"/>
          <w:color w:val="BF0103"/>
          <w:kern w:val="36"/>
          <w:sz w:val="39"/>
          <w:szCs w:val="39"/>
        </w:rPr>
      </w:pPr>
    </w:p>
    <w:p w:rsidR="002C4A50" w:rsidRDefault="002C4A50" w:rsidP="002C4A50">
      <w:pPr>
        <w:widowControl/>
        <w:shd w:val="clear" w:color="auto" w:fill="FFFFFF"/>
        <w:jc w:val="center"/>
        <w:outlineLvl w:val="0"/>
        <w:rPr>
          <w:rFonts w:ascii="AdobeHeitiStd-Regular" w:eastAsia="宋体" w:hAnsi="AdobeHeitiStd-Regular" w:cs="宋体"/>
          <w:color w:val="BF0103"/>
          <w:kern w:val="36"/>
          <w:sz w:val="39"/>
          <w:szCs w:val="39"/>
        </w:rPr>
      </w:pPr>
    </w:p>
    <w:p w:rsidR="002C4A50" w:rsidRDefault="002C4A50" w:rsidP="002C4A50">
      <w:pPr>
        <w:widowControl/>
        <w:shd w:val="clear" w:color="auto" w:fill="FFFFFF"/>
        <w:jc w:val="center"/>
        <w:outlineLvl w:val="0"/>
        <w:rPr>
          <w:rFonts w:ascii="AdobeHeitiStd-Regular" w:eastAsia="宋体" w:hAnsi="AdobeHeitiStd-Regular" w:cs="宋体"/>
          <w:color w:val="BF0103"/>
          <w:kern w:val="36"/>
          <w:sz w:val="39"/>
          <w:szCs w:val="39"/>
        </w:rPr>
      </w:pPr>
    </w:p>
    <w:p w:rsidR="002C4A50" w:rsidRPr="002C4A50" w:rsidRDefault="002C4A50" w:rsidP="002C4A50">
      <w:pPr>
        <w:widowControl/>
        <w:shd w:val="clear" w:color="auto" w:fill="FFFFFF"/>
        <w:jc w:val="center"/>
        <w:outlineLvl w:val="0"/>
        <w:rPr>
          <w:rFonts w:ascii="AdobeHeitiStd-Regular" w:eastAsia="宋体" w:hAnsi="AdobeHeitiStd-Regular" w:cs="宋体"/>
          <w:color w:val="BF0103"/>
          <w:kern w:val="36"/>
          <w:sz w:val="39"/>
          <w:szCs w:val="39"/>
        </w:rPr>
      </w:pPr>
      <w:r w:rsidRPr="002C4A50">
        <w:rPr>
          <w:rFonts w:ascii="AdobeHeitiStd-Regular" w:eastAsia="宋体" w:hAnsi="AdobeHeitiStd-Regular" w:cs="宋体"/>
          <w:color w:val="BF0103"/>
          <w:kern w:val="36"/>
          <w:sz w:val="39"/>
          <w:szCs w:val="39"/>
        </w:rPr>
        <w:t>交</w:t>
      </w:r>
      <w:bookmarkStart w:id="0" w:name="_GoBack"/>
      <w:r w:rsidRPr="002C4A50">
        <w:rPr>
          <w:rFonts w:ascii="AdobeHeitiStd-Regular" w:eastAsia="宋体" w:hAnsi="AdobeHeitiStd-Regular" w:cs="宋体"/>
          <w:color w:val="BF0103"/>
          <w:kern w:val="36"/>
          <w:sz w:val="39"/>
          <w:szCs w:val="39"/>
        </w:rPr>
        <w:t>通运输部办公厅关于做好交通运输促进消费扩容提质有关工作的通知</w:t>
      </w:r>
    </w:p>
    <w:bookmarkEnd w:id="0"/>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各省、自治区、直辖市、新疆生产建设兵团及计划单列市交通运输厅（局、委）：</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为贯彻落实党中央、国务院关于扩大内需决策部署，促进消费扩容提质，推动形成强大国内市场，服务</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六稳</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工作，落实</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六保</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任务，经交通运输部同意，就做好交通运输促进消费扩容提质有关工作通知如下：</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一、改善交通基础设施条件，激发消费潜力</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在推动交通基础设施布局完善、立体互联的基础上，突出问题导向、目标导向，重点推动一批对促进消费作用明显的交通基础设施建设，为激发消费潜力创造条件。</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一）加快城际交通基础设施建设。以京津冀地区、长三角地区、粤港澳大湾区、成渝地区双城经济圈等重点城市群、都市圈为重点，推动形成以轨道交通、高速公路为骨架的多层次快速交通网。完善城市群、都市圈中心城市交通基础设施建设，大力发展公共交通，提升交通一体化水平。逐步形成都市区</w:t>
      </w:r>
      <w:r w:rsidRPr="002C4A50">
        <w:rPr>
          <w:rFonts w:ascii="AdobeHeitiStd-Regular" w:eastAsia="宋体" w:hAnsi="AdobeHeitiStd-Regular" w:cs="宋体"/>
          <w:color w:val="323232"/>
          <w:kern w:val="0"/>
          <w:sz w:val="24"/>
          <w:szCs w:val="24"/>
        </w:rPr>
        <w:t>1</w:t>
      </w:r>
      <w:r w:rsidRPr="002C4A50">
        <w:rPr>
          <w:rFonts w:ascii="AdobeHeitiStd-Regular" w:eastAsia="宋体" w:hAnsi="AdobeHeitiStd-Regular" w:cs="宋体"/>
          <w:color w:val="323232"/>
          <w:kern w:val="0"/>
          <w:sz w:val="24"/>
          <w:szCs w:val="24"/>
        </w:rPr>
        <w:t>小时通勤，城市群</w:t>
      </w:r>
      <w:r w:rsidRPr="002C4A50">
        <w:rPr>
          <w:rFonts w:ascii="AdobeHeitiStd-Regular" w:eastAsia="宋体" w:hAnsi="AdobeHeitiStd-Regular" w:cs="宋体"/>
          <w:color w:val="323232"/>
          <w:kern w:val="0"/>
          <w:sz w:val="24"/>
          <w:szCs w:val="24"/>
        </w:rPr>
        <w:t>2</w:t>
      </w:r>
      <w:r w:rsidRPr="002C4A50">
        <w:rPr>
          <w:rFonts w:ascii="AdobeHeitiStd-Regular" w:eastAsia="宋体" w:hAnsi="AdobeHeitiStd-Regular" w:cs="宋体"/>
          <w:color w:val="323232"/>
          <w:kern w:val="0"/>
          <w:sz w:val="24"/>
          <w:szCs w:val="24"/>
        </w:rPr>
        <w:t>小时通达。</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（二）完善农村交通基础设施网。推动</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四好农村路</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高质量发展，大力推进撤并建制村等较大人口规模自然村、</w:t>
      </w:r>
      <w:proofErr w:type="gramStart"/>
      <w:r w:rsidRPr="002C4A50">
        <w:rPr>
          <w:rFonts w:ascii="AdobeHeitiStd-Regular" w:eastAsia="宋体" w:hAnsi="AdobeHeitiStd-Regular" w:cs="宋体"/>
          <w:color w:val="323232"/>
          <w:kern w:val="0"/>
          <w:sz w:val="24"/>
          <w:szCs w:val="24"/>
        </w:rPr>
        <w:t>抵边自然村</w:t>
      </w:r>
      <w:proofErr w:type="gramEnd"/>
      <w:r w:rsidRPr="002C4A50">
        <w:rPr>
          <w:rFonts w:ascii="AdobeHeitiStd-Regular" w:eastAsia="宋体" w:hAnsi="AdobeHeitiStd-Regular" w:cs="宋体"/>
          <w:color w:val="323232"/>
          <w:kern w:val="0"/>
          <w:sz w:val="24"/>
          <w:szCs w:val="24"/>
        </w:rPr>
        <w:t>通硬化路，推进交通项目更多向进村入户倾斜。深化农村公路管养体制改革，加快建立管养长效机制。推进</w:t>
      </w:r>
      <w:proofErr w:type="gramStart"/>
      <w:r w:rsidRPr="002C4A50">
        <w:rPr>
          <w:rFonts w:ascii="AdobeHeitiStd-Regular" w:eastAsia="宋体" w:hAnsi="AdobeHeitiStd-Regular" w:cs="宋体"/>
          <w:color w:val="323232"/>
          <w:kern w:val="0"/>
          <w:sz w:val="24"/>
          <w:szCs w:val="24"/>
        </w:rPr>
        <w:t>渡改桥</w:t>
      </w:r>
      <w:proofErr w:type="gramEnd"/>
      <w:r w:rsidRPr="002C4A50">
        <w:rPr>
          <w:rFonts w:ascii="AdobeHeitiStd-Regular" w:eastAsia="宋体" w:hAnsi="AdobeHeitiStd-Regular" w:cs="宋体"/>
          <w:color w:val="323232"/>
          <w:kern w:val="0"/>
          <w:sz w:val="24"/>
          <w:szCs w:val="24"/>
        </w:rPr>
        <w:t>、陆岛交通码头、库湖区航道和便民码头等设施建设，改善偏远地区渡口渡船</w:t>
      </w:r>
      <w:r w:rsidRPr="002C4A50">
        <w:rPr>
          <w:rFonts w:ascii="AdobeHeitiStd-Regular" w:eastAsia="宋体" w:hAnsi="AdobeHeitiStd-Regular" w:cs="宋体"/>
          <w:color w:val="323232"/>
          <w:kern w:val="0"/>
          <w:sz w:val="24"/>
          <w:szCs w:val="24"/>
        </w:rPr>
        <w:lastRenderedPageBreak/>
        <w:t>条件。完善农村物流基础服务设施，引导乡镇客运站拓展商贸、物流、邮政快递等功能，实现</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一点多能、一网多用、多站合一</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三）提升综合交通枢纽发展质量。推进综合客运枢纽建设，引导带动各种运输方式设施集中布局、空间共享、立体或同台换乘。鼓励以大型综合客运枢纽为载体，促进商贸金融、旅游餐饮、购物娱乐等关联消费产业集聚发展，打造城市综合体。推进国家物流枢纽和货运枢纽（物流园区）等物流节点建设，引导物流节点拓展冷链、邮政快递、跨境电商、航空物流等服务功能。</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二、提升交通运输服务品质，服务消费升级</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针对旅客出行和生活性物流服务面临的难点、痛点问题，着力提升出行服务快速化、便捷化水平，推进货运物流服务绿色高效发展，打通交通领域制约消费的</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堵点</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，增强消费活力。</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（四）完善客运服务。加快剩余具备条件的乡镇和建制村通客车，巩固已通客车成果，确保</w:t>
      </w:r>
      <w:r w:rsidRPr="002C4A50">
        <w:rPr>
          <w:rFonts w:ascii="AdobeHeitiStd-Regular" w:eastAsia="宋体" w:hAnsi="AdobeHeitiStd-Regular" w:cs="宋体"/>
          <w:color w:val="323232"/>
          <w:kern w:val="0"/>
          <w:sz w:val="24"/>
          <w:szCs w:val="24"/>
        </w:rPr>
        <w:t>2020</w:t>
      </w:r>
      <w:r w:rsidRPr="002C4A50">
        <w:rPr>
          <w:rFonts w:ascii="AdobeHeitiStd-Regular" w:eastAsia="宋体" w:hAnsi="AdobeHeitiStd-Regular" w:cs="宋体"/>
          <w:color w:val="323232"/>
          <w:kern w:val="0"/>
          <w:sz w:val="24"/>
          <w:szCs w:val="24"/>
        </w:rPr>
        <w:t>年</w:t>
      </w:r>
      <w:r w:rsidRPr="002C4A50">
        <w:rPr>
          <w:rFonts w:ascii="AdobeHeitiStd-Regular" w:eastAsia="宋体" w:hAnsi="AdobeHeitiStd-Regular" w:cs="宋体"/>
          <w:color w:val="323232"/>
          <w:kern w:val="0"/>
          <w:sz w:val="24"/>
          <w:szCs w:val="24"/>
        </w:rPr>
        <w:t>9</w:t>
      </w:r>
      <w:r w:rsidRPr="002C4A50">
        <w:rPr>
          <w:rFonts w:ascii="AdobeHeitiStd-Regular" w:eastAsia="宋体" w:hAnsi="AdobeHeitiStd-Regular" w:cs="宋体"/>
          <w:color w:val="323232"/>
          <w:kern w:val="0"/>
          <w:sz w:val="24"/>
          <w:szCs w:val="24"/>
        </w:rPr>
        <w:t>月底前高质量完成通客车目标。全面实现琼州海峡客</w:t>
      </w:r>
      <w:proofErr w:type="gramStart"/>
      <w:r w:rsidRPr="002C4A50">
        <w:rPr>
          <w:rFonts w:ascii="AdobeHeitiStd-Regular" w:eastAsia="宋体" w:hAnsi="AdobeHeitiStd-Regular" w:cs="宋体"/>
          <w:color w:val="323232"/>
          <w:kern w:val="0"/>
          <w:sz w:val="24"/>
          <w:szCs w:val="24"/>
        </w:rPr>
        <w:t>滚运输</w:t>
      </w:r>
      <w:proofErr w:type="gramEnd"/>
      <w:r w:rsidRPr="002C4A50">
        <w:rPr>
          <w:rFonts w:ascii="AdobeHeitiStd-Regular" w:eastAsia="宋体" w:hAnsi="AdobeHeitiStd-Regular" w:cs="宋体"/>
          <w:color w:val="323232"/>
          <w:kern w:val="0"/>
          <w:sz w:val="24"/>
          <w:szCs w:val="24"/>
        </w:rPr>
        <w:t>班轮化常态运营，进一步缩短旅客平均过海时间。因地制宜，推动完善夜间经济交通运输配套服务。不断满足残疾人、老年人等群体特殊需求，提高无障碍便利出行服务水平。</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五）优化旅客换乘服务。进一步提升旅客联程运输服务水平，切实改善旅客出行体验。鼓励地方加强创新，推进各种运输方式信息开放共享、管理协同、安检流程优化、票务服务一体化。推广黑龙江、北京、南京、深圳等地旅客联程运输的经验和做法。加强综合客运枢纽城市公共交通和辅助公共交通服务配套衔接，提升旅客</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最后一公里</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接驳服务水平。根据市场需求，鼓励在机场、火车站、港口客运站等开辟汽车租赁服务网点。</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（六）提升票务服务水平。鼓励企业通过互联网等信息技术应用，提升联网、联程、异地、往返以及退订票票务服务水平，引导互联网企业提供联程联运</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一站式票务服务</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。拓展交通</w:t>
      </w:r>
      <w:proofErr w:type="gramStart"/>
      <w:r w:rsidRPr="002C4A50">
        <w:rPr>
          <w:rFonts w:ascii="AdobeHeitiStd-Regular" w:eastAsia="宋体" w:hAnsi="AdobeHeitiStd-Regular" w:cs="宋体"/>
          <w:color w:val="323232"/>
          <w:kern w:val="0"/>
          <w:sz w:val="24"/>
          <w:szCs w:val="24"/>
        </w:rPr>
        <w:t>一</w:t>
      </w:r>
      <w:proofErr w:type="gramEnd"/>
      <w:r w:rsidRPr="002C4A50">
        <w:rPr>
          <w:rFonts w:ascii="AdobeHeitiStd-Regular" w:eastAsia="宋体" w:hAnsi="AdobeHeitiStd-Regular" w:cs="宋体"/>
          <w:color w:val="323232"/>
          <w:kern w:val="0"/>
          <w:sz w:val="24"/>
          <w:szCs w:val="24"/>
        </w:rPr>
        <w:t>卡通在出租汽车、城市轮渡以及公交化运行的道路客运等出行应用。推广道路客运电子客票，在北京、江苏、江西等省份开展道路客运电子客票试点应用，提升道路客运数字化、信息化水平，改善乘客出行体验。推进水路客运电子船票应用，在琼州海峡、渤海湾等重点水域开展电子船票应用。持续推广实施邮轮船票管理制度。</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（七）提升生活性物流服务水平。推进</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全球</w:t>
      </w:r>
      <w:r w:rsidRPr="002C4A50">
        <w:rPr>
          <w:rFonts w:ascii="AdobeHeitiStd-Regular" w:eastAsia="宋体" w:hAnsi="AdobeHeitiStd-Regular" w:cs="宋体"/>
          <w:color w:val="323232"/>
          <w:kern w:val="0"/>
          <w:sz w:val="24"/>
          <w:szCs w:val="24"/>
        </w:rPr>
        <w:t>123</w:t>
      </w:r>
      <w:r w:rsidRPr="002C4A50">
        <w:rPr>
          <w:rFonts w:ascii="AdobeHeitiStd-Regular" w:eastAsia="宋体" w:hAnsi="AdobeHeitiStd-Regular" w:cs="宋体"/>
          <w:color w:val="323232"/>
          <w:kern w:val="0"/>
          <w:sz w:val="24"/>
          <w:szCs w:val="24"/>
        </w:rPr>
        <w:t>快货物流圈</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建设，支撑居民对快速、便捷物流服务日益增长的需求。深化城市绿色货运配送示范工程，引</w:t>
      </w:r>
      <w:r w:rsidRPr="002C4A50">
        <w:rPr>
          <w:rFonts w:ascii="AdobeHeitiStd-Regular" w:eastAsia="宋体" w:hAnsi="AdobeHeitiStd-Regular" w:cs="宋体"/>
          <w:color w:val="323232"/>
          <w:kern w:val="0"/>
          <w:sz w:val="24"/>
          <w:szCs w:val="24"/>
        </w:rPr>
        <w:lastRenderedPageBreak/>
        <w:t>导地方根据发展实际，统筹城市交通和城市物资配送需求，精准制定城市配送车辆通行管控政策。鼓励地方强化部门协作，推动信息数据共享，为提升城市货运配送信息化水平提供支撑。</w:t>
      </w:r>
      <w:proofErr w:type="gramStart"/>
      <w:r w:rsidRPr="002C4A50">
        <w:rPr>
          <w:rFonts w:ascii="AdobeHeitiStd-Regular" w:eastAsia="宋体" w:hAnsi="AdobeHeitiStd-Regular" w:cs="宋体"/>
          <w:color w:val="323232"/>
          <w:kern w:val="0"/>
          <w:sz w:val="24"/>
          <w:szCs w:val="24"/>
        </w:rPr>
        <w:t>完善冷链运输</w:t>
      </w:r>
      <w:proofErr w:type="gramEnd"/>
      <w:r w:rsidRPr="002C4A50">
        <w:rPr>
          <w:rFonts w:ascii="AdobeHeitiStd-Regular" w:eastAsia="宋体" w:hAnsi="AdobeHeitiStd-Regular" w:cs="宋体"/>
          <w:color w:val="323232"/>
          <w:kern w:val="0"/>
          <w:sz w:val="24"/>
          <w:szCs w:val="24"/>
        </w:rPr>
        <w:t>标准和规范，提高冷链物流车辆技术装备水平，提升冷</w:t>
      </w:r>
      <w:proofErr w:type="gramStart"/>
      <w:r w:rsidRPr="002C4A50">
        <w:rPr>
          <w:rFonts w:ascii="AdobeHeitiStd-Regular" w:eastAsia="宋体" w:hAnsi="AdobeHeitiStd-Regular" w:cs="宋体"/>
          <w:color w:val="323232"/>
          <w:kern w:val="0"/>
          <w:sz w:val="24"/>
          <w:szCs w:val="24"/>
        </w:rPr>
        <w:t>链运输</w:t>
      </w:r>
      <w:proofErr w:type="gramEnd"/>
      <w:r w:rsidRPr="002C4A50">
        <w:rPr>
          <w:rFonts w:ascii="AdobeHeitiStd-Regular" w:eastAsia="宋体" w:hAnsi="AdobeHeitiStd-Regular" w:cs="宋体"/>
          <w:color w:val="323232"/>
          <w:kern w:val="0"/>
          <w:sz w:val="24"/>
          <w:szCs w:val="24"/>
        </w:rPr>
        <w:t>服务品质。持续推进交邮融合，完善县、乡、村三级农村物流服务体系。</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三、推进交通运输跨业融合，培育新消费</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发挥交通运输点多、线长、面广的优势和特点，推动交通运输</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上下游、左右向</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产业融合联动，提升新技术、新业态、新模式行业应用和发展水平，为新消费提供支撑。</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八）推进交通运输与旅游体育产业融合。加强高速公路与景区交通的衔接，在高速公路规划、建设中充分考虑与重点景区道路的连接，完善交通引导标识设置。推动高速公路服务区因地制宜拓展旅游、消费等功能，结合地域特色配套房车车位、加气站、新能源汽车充电桩等设施设备。持续推进旅游公路、旅游航道、邮轮游艇码头建设，推动邮轮经济、旅游专列、低空飞行旅游等发展，推动</w:t>
      </w:r>
      <w:proofErr w:type="gramStart"/>
      <w:r w:rsidRPr="002C4A50">
        <w:rPr>
          <w:rFonts w:ascii="AdobeHeitiStd-Regular" w:eastAsia="宋体" w:hAnsi="AdobeHeitiStd-Regular" w:cs="宋体"/>
          <w:color w:val="323232"/>
          <w:kern w:val="0"/>
          <w:sz w:val="24"/>
          <w:szCs w:val="24"/>
        </w:rPr>
        <w:t>邮轮港</w:t>
      </w:r>
      <w:proofErr w:type="gramEnd"/>
      <w:r w:rsidRPr="002C4A50">
        <w:rPr>
          <w:rFonts w:ascii="AdobeHeitiStd-Regular" w:eastAsia="宋体" w:hAnsi="AdobeHeitiStd-Regular" w:cs="宋体"/>
          <w:color w:val="323232"/>
          <w:kern w:val="0"/>
          <w:sz w:val="24"/>
          <w:szCs w:val="24"/>
        </w:rPr>
        <w:t>提升服务水平。鼓励创建以交通资源为特色的自主品牌体育赛事活动。</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（九）推进交通运输与信息产业融合。推进交通运输新型基础设施建设，提升交通基础设施智能化、数字化水平。推进自动驾驶、车路协同技术应用。利用</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互联网</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技术促进共享交通健康发展，鼓励小微型客车分时租赁、道路客运定制服务等出行服务新业态、新模式发展。鼓励</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互联网</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高效物流发展，提升物流的自动化、智能化、数字化水平，提高及时寄递、冷链快递等领域服务质量，有力支撑电子商务发展和数字消费。</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十）推进交通运输绿色消费发展。指导督促各地进一步做好新能源公交车、出租汽车推广应用，逐步推动城市公共交通工具和城市物流配送车辆实现电动化和清洁化。加快淘汰报废老旧柴油货车。研究建立道路运输领域新能源汽车使用安全和运维保养相关标准规范。引导物流企业使用符合环保和</w:t>
      </w:r>
      <w:proofErr w:type="gramStart"/>
      <w:r w:rsidRPr="002C4A50">
        <w:rPr>
          <w:rFonts w:ascii="AdobeHeitiStd-Regular" w:eastAsia="宋体" w:hAnsi="AdobeHeitiStd-Regular" w:cs="宋体"/>
          <w:color w:val="323232"/>
          <w:kern w:val="0"/>
          <w:sz w:val="24"/>
          <w:szCs w:val="24"/>
        </w:rPr>
        <w:t>可</w:t>
      </w:r>
      <w:proofErr w:type="gramEnd"/>
      <w:r w:rsidRPr="002C4A50">
        <w:rPr>
          <w:rFonts w:ascii="AdobeHeitiStd-Regular" w:eastAsia="宋体" w:hAnsi="AdobeHeitiStd-Regular" w:cs="宋体"/>
          <w:color w:val="323232"/>
          <w:kern w:val="0"/>
          <w:sz w:val="24"/>
          <w:szCs w:val="24"/>
        </w:rPr>
        <w:t>循环标准的包装，避免重复包装、过度包装，提高资源再利用和循环利用水平。</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四、营造放心的交通运输消费环境，提升消费满意度</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进一步增强服务意识，通过服务方式创新、运输市场监管、</w:t>
      </w:r>
      <w:proofErr w:type="gramStart"/>
      <w:r w:rsidRPr="002C4A50">
        <w:rPr>
          <w:rFonts w:ascii="AdobeHeitiStd-Regular" w:eastAsia="宋体" w:hAnsi="AdobeHeitiStd-Regular" w:cs="宋体"/>
          <w:color w:val="323232"/>
          <w:kern w:val="0"/>
          <w:sz w:val="24"/>
          <w:szCs w:val="24"/>
        </w:rPr>
        <w:t>畅通维权渠道</w:t>
      </w:r>
      <w:proofErr w:type="gramEnd"/>
      <w:r w:rsidRPr="002C4A50">
        <w:rPr>
          <w:rFonts w:ascii="AdobeHeitiStd-Regular" w:eastAsia="宋体" w:hAnsi="AdobeHeitiStd-Regular" w:cs="宋体"/>
          <w:color w:val="323232"/>
          <w:kern w:val="0"/>
          <w:sz w:val="24"/>
          <w:szCs w:val="24"/>
        </w:rPr>
        <w:t>等工作，切实维护消费者权益，努力营造安全、便捷、舒心的交通运输消费环境。</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（十一）鼓励服务方式创新。鼓励各类互联网平台和市场主体参与交通、旅游服务大数据产品及增值服务开发，以移动互联网为载体，为公众提供多样化交</w:t>
      </w:r>
      <w:r w:rsidRPr="002C4A50">
        <w:rPr>
          <w:rFonts w:ascii="AdobeHeitiStd-Regular" w:eastAsia="宋体" w:hAnsi="AdobeHeitiStd-Regular" w:cs="宋体"/>
          <w:color w:val="323232"/>
          <w:kern w:val="0"/>
          <w:sz w:val="24"/>
          <w:szCs w:val="24"/>
        </w:rPr>
        <w:lastRenderedPageBreak/>
        <w:t>通出行、旅游、体育赛事等综合信息服务。持续深化</w:t>
      </w:r>
      <w:r w:rsidRPr="002C4A50">
        <w:rPr>
          <w:rFonts w:ascii="AdobeHeitiStd-Regular" w:eastAsia="宋体" w:hAnsi="AdobeHeitiStd-Regular" w:cs="宋体"/>
          <w:color w:val="323232"/>
          <w:kern w:val="0"/>
          <w:sz w:val="24"/>
          <w:szCs w:val="24"/>
        </w:rPr>
        <w:t>ETC</w:t>
      </w:r>
      <w:r w:rsidRPr="002C4A50">
        <w:rPr>
          <w:rFonts w:ascii="AdobeHeitiStd-Regular" w:eastAsia="宋体" w:hAnsi="AdobeHeitiStd-Regular" w:cs="宋体"/>
          <w:color w:val="323232"/>
          <w:kern w:val="0"/>
          <w:sz w:val="24"/>
          <w:szCs w:val="24"/>
        </w:rPr>
        <w:t>拓展应用。推广高速公路差异化收费。</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十二）维护运输市场秩序。建设公平开放、竞争有序的交通运输市场，完善市场准入和退出制度，着力健全行业运行规则。在交通出行、运输物流等重点领域，构建以信用为基础的新型监管机制，研究推进信用信息互联、信用评价互认、联合奖惩互动、信用修复互通的跨区域信用监管应用，优化行业整体信用环境。推进汽车维修电子健康档案系统拓展应用工作，为促进二手车交易提供支撑。强化交通运输服务监督管理，综合运用互联网、微信、电话等渠道敞开受理群众反映的问题，对问题做到及时回应并妥善解决，提升消费满意度。</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十三）保障旅客出行安全。按照《客运场站和交通运输工具新冠肺炎疫情分区分级防控指南》有关要求，做好客运场站和交通运输工具疫情防控工作。督促交通运输企业落实安全管理主体责任。进一步加强安全监管和应急能力建设。加大基础设施安全防护投入力度，提升关键基础设施安全防护能力。建设放心车船码头，加强安检查危工作，创造安全环境。推进省际包车客运标志牌信息部省共享和对外查询，提高旅游包车安全规范运营水平。对</w:t>
      </w:r>
      <w:r w:rsidRPr="002C4A50">
        <w:rPr>
          <w:rFonts w:ascii="AdobeHeitiStd-Regular" w:eastAsia="宋体" w:hAnsi="AdobeHeitiStd-Regular" w:cs="宋体"/>
          <w:color w:val="323232"/>
          <w:kern w:val="0"/>
          <w:sz w:val="24"/>
          <w:szCs w:val="24"/>
        </w:rPr>
        <w:t>800</w:t>
      </w:r>
      <w:r w:rsidRPr="002C4A50">
        <w:rPr>
          <w:rFonts w:ascii="AdobeHeitiStd-Regular" w:eastAsia="宋体" w:hAnsi="AdobeHeitiStd-Regular" w:cs="宋体"/>
          <w:color w:val="323232"/>
          <w:kern w:val="0"/>
          <w:sz w:val="24"/>
          <w:szCs w:val="24"/>
        </w:rPr>
        <w:t>公里以上长途客运班线和卧铺客车实施安全生产重点监管。</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五、加强组织实施，确保取得实效</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加强组织领导，创新工作方法，强化宣传引导，力求促进消费扩容提</w:t>
      </w:r>
      <w:proofErr w:type="gramStart"/>
      <w:r w:rsidRPr="002C4A50">
        <w:rPr>
          <w:rFonts w:ascii="AdobeHeitiStd-Regular" w:eastAsia="宋体" w:hAnsi="AdobeHeitiStd-Regular" w:cs="宋体"/>
          <w:color w:val="323232"/>
          <w:kern w:val="0"/>
          <w:sz w:val="24"/>
          <w:szCs w:val="24"/>
        </w:rPr>
        <w:t>质取得</w:t>
      </w:r>
      <w:proofErr w:type="gramEnd"/>
      <w:r w:rsidRPr="002C4A50">
        <w:rPr>
          <w:rFonts w:ascii="AdobeHeitiStd-Regular" w:eastAsia="宋体" w:hAnsi="AdobeHeitiStd-Regular" w:cs="宋体"/>
          <w:color w:val="323232"/>
          <w:kern w:val="0"/>
          <w:sz w:val="24"/>
          <w:szCs w:val="24"/>
        </w:rPr>
        <w:t>实效，为应对疫情带来的不利影响、有效扩大内需、推动</w:t>
      </w:r>
      <w:proofErr w:type="gramStart"/>
      <w:r w:rsidRPr="002C4A50">
        <w:rPr>
          <w:rFonts w:ascii="AdobeHeitiStd-Regular" w:eastAsia="宋体" w:hAnsi="AdobeHeitiStd-Regular" w:cs="宋体"/>
          <w:color w:val="323232"/>
          <w:kern w:val="0"/>
          <w:sz w:val="24"/>
          <w:szCs w:val="24"/>
        </w:rPr>
        <w:t>进形成</w:t>
      </w:r>
      <w:proofErr w:type="gramEnd"/>
      <w:r w:rsidRPr="002C4A50">
        <w:rPr>
          <w:rFonts w:ascii="AdobeHeitiStd-Regular" w:eastAsia="宋体" w:hAnsi="AdobeHeitiStd-Regular" w:cs="宋体"/>
          <w:color w:val="323232"/>
          <w:kern w:val="0"/>
          <w:sz w:val="24"/>
          <w:szCs w:val="24"/>
        </w:rPr>
        <w:t>强大国内市场提供有力支撑保障。</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（十四）加强组织领导。各级交通运输主管部门要提高政治站位，充分认识交通运输促进消费扩容提</w:t>
      </w:r>
      <w:proofErr w:type="gramStart"/>
      <w:r w:rsidRPr="002C4A50">
        <w:rPr>
          <w:rFonts w:ascii="AdobeHeitiStd-Regular" w:eastAsia="宋体" w:hAnsi="AdobeHeitiStd-Regular" w:cs="宋体"/>
          <w:color w:val="323232"/>
          <w:kern w:val="0"/>
          <w:sz w:val="24"/>
          <w:szCs w:val="24"/>
        </w:rPr>
        <w:t>质工作</w:t>
      </w:r>
      <w:proofErr w:type="gramEnd"/>
      <w:r w:rsidRPr="002C4A50">
        <w:rPr>
          <w:rFonts w:ascii="AdobeHeitiStd-Regular" w:eastAsia="宋体" w:hAnsi="AdobeHeitiStd-Regular" w:cs="宋体"/>
          <w:color w:val="323232"/>
          <w:kern w:val="0"/>
          <w:sz w:val="24"/>
          <w:szCs w:val="24"/>
        </w:rPr>
        <w:t>的重要性。在工作中，要加强组织领导，提升服务意识，强化部门联动，结合实际细化实化举措，加大</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放管服</w:t>
      </w:r>
      <w:r w:rsidRPr="002C4A50">
        <w:rPr>
          <w:rFonts w:ascii="AdobeHeitiStd-Regular" w:eastAsia="宋体" w:hAnsi="AdobeHeitiStd-Regular" w:cs="宋体"/>
          <w:color w:val="323232"/>
          <w:kern w:val="0"/>
          <w:sz w:val="24"/>
          <w:szCs w:val="24"/>
        </w:rPr>
        <w:t>”</w:t>
      </w:r>
      <w:r w:rsidRPr="002C4A50">
        <w:rPr>
          <w:rFonts w:ascii="AdobeHeitiStd-Regular" w:eastAsia="宋体" w:hAnsi="AdobeHeitiStd-Regular" w:cs="宋体"/>
          <w:color w:val="323232"/>
          <w:kern w:val="0"/>
          <w:sz w:val="24"/>
          <w:szCs w:val="24"/>
        </w:rPr>
        <w:t>改革力度，形成促进消费扩容提质的工作合力。</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十五）创新工作方法。加强政策创新、制度创新，鼓励各地交通运输主管部门通过试点探索、示范带动、政策支持等方式，因地制宜促进消费扩容提质。对于符合交通强国建设试点要求、创新性强、示范带动性突出的项目，交通运输部将按程序纳入试点。</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t xml:space="preserve">　　（十六）强化宣传引导。充分发挥媒体的舆论导向作用，广泛利用重点新闻网站、主要商业网站和微博、微信、移动客户端等媒体平台，精心设置议题，大力宣传交通运输促进消费扩容提质的好经验、好做法，发挥典型示范带动作用。</w:t>
      </w:r>
    </w:p>
    <w:p w:rsidR="002C4A50" w:rsidRPr="002C4A50" w:rsidRDefault="002C4A50" w:rsidP="002C4A50">
      <w:pPr>
        <w:widowControl/>
        <w:shd w:val="clear" w:color="auto" w:fill="FFFFFF"/>
        <w:spacing w:line="450" w:lineRule="atLeast"/>
        <w:jc w:val="left"/>
        <w:rPr>
          <w:rFonts w:ascii="AdobeHeitiStd-Regular" w:eastAsia="宋体" w:hAnsi="AdobeHeitiStd-Regular" w:cs="宋体"/>
          <w:color w:val="323232"/>
          <w:kern w:val="0"/>
          <w:sz w:val="24"/>
          <w:szCs w:val="24"/>
        </w:rPr>
      </w:pPr>
      <w:r w:rsidRPr="002C4A50">
        <w:rPr>
          <w:rFonts w:ascii="AdobeHeitiStd-Regular" w:eastAsia="宋体" w:hAnsi="AdobeHeitiStd-Regular" w:cs="宋体"/>
          <w:color w:val="323232"/>
          <w:kern w:val="0"/>
          <w:sz w:val="24"/>
          <w:szCs w:val="24"/>
        </w:rPr>
        <w:lastRenderedPageBreak/>
        <w:t xml:space="preserve">　　抄送：国家铁路局、中国民用航空局、国家邮政局。</w:t>
      </w:r>
    </w:p>
    <w:p w:rsidR="00DE7C76" w:rsidRDefault="00DE7C76"/>
    <w:sectPr w:rsidR="00DE7C76" w:rsidSect="00DE7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HeitiStd-Regular">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9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50"/>
    <w:rsid w:val="00004DB3"/>
    <w:rsid w:val="00017EBB"/>
    <w:rsid w:val="000327B7"/>
    <w:rsid w:val="00033563"/>
    <w:rsid w:val="00040DD3"/>
    <w:rsid w:val="000554BE"/>
    <w:rsid w:val="00086181"/>
    <w:rsid w:val="000C0AE7"/>
    <w:rsid w:val="000C2144"/>
    <w:rsid w:val="000D3B90"/>
    <w:rsid w:val="000F4C5D"/>
    <w:rsid w:val="00135B84"/>
    <w:rsid w:val="00161620"/>
    <w:rsid w:val="00164A3B"/>
    <w:rsid w:val="00177420"/>
    <w:rsid w:val="00184D8C"/>
    <w:rsid w:val="00197CCA"/>
    <w:rsid w:val="001D752B"/>
    <w:rsid w:val="001E5E0A"/>
    <w:rsid w:val="00203040"/>
    <w:rsid w:val="00205FE6"/>
    <w:rsid w:val="00212B85"/>
    <w:rsid w:val="0022369D"/>
    <w:rsid w:val="00223AF6"/>
    <w:rsid w:val="002363A3"/>
    <w:rsid w:val="0028317F"/>
    <w:rsid w:val="002C4A50"/>
    <w:rsid w:val="002F5ED5"/>
    <w:rsid w:val="003464A5"/>
    <w:rsid w:val="003626D7"/>
    <w:rsid w:val="0039425B"/>
    <w:rsid w:val="003D7620"/>
    <w:rsid w:val="003E3B67"/>
    <w:rsid w:val="003F2C7E"/>
    <w:rsid w:val="004245E0"/>
    <w:rsid w:val="0045330C"/>
    <w:rsid w:val="0045438E"/>
    <w:rsid w:val="00457108"/>
    <w:rsid w:val="00484B1F"/>
    <w:rsid w:val="004A5221"/>
    <w:rsid w:val="004B29EB"/>
    <w:rsid w:val="004B3263"/>
    <w:rsid w:val="004B6B87"/>
    <w:rsid w:val="004C34DF"/>
    <w:rsid w:val="004E1ED5"/>
    <w:rsid w:val="0051105E"/>
    <w:rsid w:val="00524912"/>
    <w:rsid w:val="00531580"/>
    <w:rsid w:val="005317FA"/>
    <w:rsid w:val="0053584F"/>
    <w:rsid w:val="0054541B"/>
    <w:rsid w:val="005607F0"/>
    <w:rsid w:val="00562140"/>
    <w:rsid w:val="00563B53"/>
    <w:rsid w:val="005659BA"/>
    <w:rsid w:val="00584DDE"/>
    <w:rsid w:val="00591FDF"/>
    <w:rsid w:val="005A119E"/>
    <w:rsid w:val="005A370D"/>
    <w:rsid w:val="005A4A7E"/>
    <w:rsid w:val="005C064B"/>
    <w:rsid w:val="005C24BB"/>
    <w:rsid w:val="005D3AB6"/>
    <w:rsid w:val="005F074C"/>
    <w:rsid w:val="00603677"/>
    <w:rsid w:val="00603BA9"/>
    <w:rsid w:val="00604BD2"/>
    <w:rsid w:val="00605B85"/>
    <w:rsid w:val="00607128"/>
    <w:rsid w:val="006109D2"/>
    <w:rsid w:val="00617734"/>
    <w:rsid w:val="00617C77"/>
    <w:rsid w:val="00624B93"/>
    <w:rsid w:val="00651CE2"/>
    <w:rsid w:val="00655668"/>
    <w:rsid w:val="00657DBF"/>
    <w:rsid w:val="006619E6"/>
    <w:rsid w:val="00674CD3"/>
    <w:rsid w:val="006759B0"/>
    <w:rsid w:val="006C22F7"/>
    <w:rsid w:val="006E066D"/>
    <w:rsid w:val="006F7AA5"/>
    <w:rsid w:val="00705745"/>
    <w:rsid w:val="007072FE"/>
    <w:rsid w:val="0071085C"/>
    <w:rsid w:val="00714285"/>
    <w:rsid w:val="0073360D"/>
    <w:rsid w:val="00741F07"/>
    <w:rsid w:val="00764328"/>
    <w:rsid w:val="00787992"/>
    <w:rsid w:val="007A7021"/>
    <w:rsid w:val="007D76EA"/>
    <w:rsid w:val="007F3D34"/>
    <w:rsid w:val="0081602B"/>
    <w:rsid w:val="008260DE"/>
    <w:rsid w:val="00851A4D"/>
    <w:rsid w:val="00876856"/>
    <w:rsid w:val="00882297"/>
    <w:rsid w:val="008A0C11"/>
    <w:rsid w:val="008A760D"/>
    <w:rsid w:val="008C3C6A"/>
    <w:rsid w:val="008E0D09"/>
    <w:rsid w:val="008F652F"/>
    <w:rsid w:val="0090353B"/>
    <w:rsid w:val="00904E6E"/>
    <w:rsid w:val="009073C8"/>
    <w:rsid w:val="00910A19"/>
    <w:rsid w:val="00910B06"/>
    <w:rsid w:val="00916EDB"/>
    <w:rsid w:val="00931E66"/>
    <w:rsid w:val="00937603"/>
    <w:rsid w:val="00947B7A"/>
    <w:rsid w:val="009506E1"/>
    <w:rsid w:val="009707D8"/>
    <w:rsid w:val="00972E0C"/>
    <w:rsid w:val="009E079D"/>
    <w:rsid w:val="00A50C1B"/>
    <w:rsid w:val="00A7068D"/>
    <w:rsid w:val="00A73D93"/>
    <w:rsid w:val="00A9403A"/>
    <w:rsid w:val="00A967D8"/>
    <w:rsid w:val="00AA02C9"/>
    <w:rsid w:val="00AA25E4"/>
    <w:rsid w:val="00AA7A27"/>
    <w:rsid w:val="00AC3419"/>
    <w:rsid w:val="00AD341F"/>
    <w:rsid w:val="00AE020E"/>
    <w:rsid w:val="00AF0271"/>
    <w:rsid w:val="00AF46FE"/>
    <w:rsid w:val="00B03728"/>
    <w:rsid w:val="00B07615"/>
    <w:rsid w:val="00B35E9F"/>
    <w:rsid w:val="00B902E8"/>
    <w:rsid w:val="00B92651"/>
    <w:rsid w:val="00B96CDA"/>
    <w:rsid w:val="00BB51FB"/>
    <w:rsid w:val="00BC233E"/>
    <w:rsid w:val="00BC3EC6"/>
    <w:rsid w:val="00BD558B"/>
    <w:rsid w:val="00BD59DE"/>
    <w:rsid w:val="00BD6D07"/>
    <w:rsid w:val="00BE0604"/>
    <w:rsid w:val="00C34941"/>
    <w:rsid w:val="00C35DD3"/>
    <w:rsid w:val="00C77E7D"/>
    <w:rsid w:val="00C85693"/>
    <w:rsid w:val="00C96EAD"/>
    <w:rsid w:val="00C9726E"/>
    <w:rsid w:val="00CA35A7"/>
    <w:rsid w:val="00CC0DBF"/>
    <w:rsid w:val="00CD360F"/>
    <w:rsid w:val="00CE75F7"/>
    <w:rsid w:val="00D27AFB"/>
    <w:rsid w:val="00D3296D"/>
    <w:rsid w:val="00D4550E"/>
    <w:rsid w:val="00D527DC"/>
    <w:rsid w:val="00D5587F"/>
    <w:rsid w:val="00D6753E"/>
    <w:rsid w:val="00D71213"/>
    <w:rsid w:val="00D7153D"/>
    <w:rsid w:val="00D75914"/>
    <w:rsid w:val="00DA1EE6"/>
    <w:rsid w:val="00DB0F8F"/>
    <w:rsid w:val="00DD38D8"/>
    <w:rsid w:val="00DE7C76"/>
    <w:rsid w:val="00E14D3A"/>
    <w:rsid w:val="00E15F01"/>
    <w:rsid w:val="00E178B0"/>
    <w:rsid w:val="00E2510E"/>
    <w:rsid w:val="00E373A3"/>
    <w:rsid w:val="00E445AC"/>
    <w:rsid w:val="00E45549"/>
    <w:rsid w:val="00E51492"/>
    <w:rsid w:val="00E5233F"/>
    <w:rsid w:val="00E636F1"/>
    <w:rsid w:val="00EA63A3"/>
    <w:rsid w:val="00EB019B"/>
    <w:rsid w:val="00EC7F9D"/>
    <w:rsid w:val="00ED486F"/>
    <w:rsid w:val="00F01429"/>
    <w:rsid w:val="00F132F6"/>
    <w:rsid w:val="00F31470"/>
    <w:rsid w:val="00F4529D"/>
    <w:rsid w:val="00F82A76"/>
    <w:rsid w:val="00FA6F0E"/>
    <w:rsid w:val="00FB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C115"/>
  <w15:chartTrackingRefBased/>
  <w15:docId w15:val="{8AA6BFD9-F4B3-4F7B-B52D-69107DDE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C76"/>
    <w:pPr>
      <w:widowControl w:val="0"/>
      <w:jc w:val="both"/>
    </w:pPr>
  </w:style>
  <w:style w:type="paragraph" w:styleId="1">
    <w:name w:val="heading 1"/>
    <w:basedOn w:val="a"/>
    <w:link w:val="10"/>
    <w:uiPriority w:val="9"/>
    <w:qFormat/>
    <w:rsid w:val="002C4A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A50"/>
    <w:rPr>
      <w:rFonts w:ascii="宋体" w:eastAsia="宋体" w:hAnsi="宋体" w:cs="宋体"/>
      <w:b/>
      <w:bCs/>
      <w:kern w:val="36"/>
      <w:sz w:val="48"/>
      <w:szCs w:val="48"/>
    </w:rPr>
  </w:style>
  <w:style w:type="character" w:styleId="a3">
    <w:name w:val="Hyperlink"/>
    <w:basedOn w:val="a0"/>
    <w:uiPriority w:val="99"/>
    <w:semiHidden/>
    <w:unhideWhenUsed/>
    <w:rsid w:val="002C4A50"/>
    <w:rPr>
      <w:color w:val="0000FF"/>
      <w:u w:val="single"/>
    </w:rPr>
  </w:style>
  <w:style w:type="paragraph" w:styleId="a4">
    <w:name w:val="Normal (Web)"/>
    <w:basedOn w:val="a"/>
    <w:uiPriority w:val="99"/>
    <w:semiHidden/>
    <w:unhideWhenUsed/>
    <w:rsid w:val="002C4A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25060">
      <w:bodyDiv w:val="1"/>
      <w:marLeft w:val="0"/>
      <w:marRight w:val="0"/>
      <w:marTop w:val="0"/>
      <w:marBottom w:val="0"/>
      <w:divBdr>
        <w:top w:val="none" w:sz="0" w:space="0" w:color="auto"/>
        <w:left w:val="none" w:sz="0" w:space="0" w:color="auto"/>
        <w:bottom w:val="none" w:sz="0" w:space="0" w:color="auto"/>
        <w:right w:val="none" w:sz="0" w:space="0" w:color="auto"/>
      </w:divBdr>
      <w:divsChild>
        <w:div w:id="1104498998">
          <w:marLeft w:val="0"/>
          <w:marRight w:val="0"/>
          <w:marTop w:val="0"/>
          <w:marBottom w:val="0"/>
          <w:divBdr>
            <w:top w:val="none" w:sz="0" w:space="0" w:color="auto"/>
            <w:left w:val="none" w:sz="0" w:space="0" w:color="auto"/>
            <w:bottom w:val="single" w:sz="6" w:space="0" w:color="CACACA"/>
            <w:right w:val="none" w:sz="0" w:space="0" w:color="auto"/>
          </w:divBdr>
        </w:div>
        <w:div w:id="29629850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2020-06-10T02:22:00Z</dcterms:created>
  <dcterms:modified xsi:type="dcterms:W3CDTF">2020-06-10T02:24:00Z</dcterms:modified>
</cp:coreProperties>
</file>