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586" w:rsidRDefault="00EF6586" w:rsidP="00EF6586">
      <w:pPr>
        <w:pStyle w:val="a3"/>
        <w:spacing w:before="0" w:beforeAutospacing="0" w:after="0" w:afterAutospacing="0"/>
      </w:pPr>
      <w:r>
        <w:rPr>
          <w:rStyle w:val="a4"/>
        </w:rPr>
        <w:t>文件原文</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jc w:val="center"/>
      </w:pPr>
      <w:r>
        <w:rPr>
          <w:rStyle w:val="a4"/>
          <w:color w:val="5F9CEF"/>
          <w:sz w:val="22"/>
          <w:szCs w:val="22"/>
        </w:rPr>
        <w:t>国务院办公厅关于印发交通运输领域</w:t>
      </w:r>
    </w:p>
    <w:p w:rsidR="00EF6586" w:rsidRDefault="00EF6586" w:rsidP="00EF6586">
      <w:pPr>
        <w:pStyle w:val="a3"/>
        <w:spacing w:before="0" w:beforeAutospacing="0" w:after="0" w:afterAutospacing="0"/>
        <w:jc w:val="center"/>
      </w:pPr>
      <w:r>
        <w:rPr>
          <w:rStyle w:val="a4"/>
          <w:color w:val="5F9CEF"/>
          <w:sz w:val="22"/>
          <w:szCs w:val="22"/>
        </w:rPr>
        <w:t>中央与地方财政事权和支出责任划分</w:t>
      </w:r>
    </w:p>
    <w:p w:rsidR="00EF6586" w:rsidRDefault="00EF6586" w:rsidP="00EF6586">
      <w:pPr>
        <w:pStyle w:val="a3"/>
        <w:spacing w:before="0" w:beforeAutospacing="0" w:after="0" w:afterAutospacing="0"/>
        <w:jc w:val="center"/>
      </w:pPr>
      <w:r>
        <w:rPr>
          <w:rStyle w:val="a4"/>
          <w:color w:val="5F9CEF"/>
          <w:sz w:val="22"/>
          <w:szCs w:val="22"/>
        </w:rPr>
        <w:t>改革方案的通知</w:t>
      </w:r>
    </w:p>
    <w:p w:rsidR="00EF6586" w:rsidRDefault="00EF6586" w:rsidP="00EF6586">
      <w:pPr>
        <w:pStyle w:val="a3"/>
        <w:spacing w:before="0" w:beforeAutospacing="0" w:after="0" w:afterAutospacing="0"/>
        <w:jc w:val="center"/>
      </w:pPr>
    </w:p>
    <w:p w:rsidR="00EF6586" w:rsidRDefault="00EF6586" w:rsidP="00EF6586">
      <w:pPr>
        <w:pStyle w:val="a3"/>
        <w:spacing w:before="0" w:beforeAutospacing="0" w:after="0" w:afterAutospacing="0"/>
        <w:jc w:val="center"/>
      </w:pPr>
      <w:r>
        <w:t>国办发〔2019〕33号</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各省、自治区、直辖市人民政府，国务院各部委、各直属机构：</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《交通运输领域中央与地方财政事权和支出责任划分改革方案》已经党中央、国务院同意，现印发给你们，请结合实际认真贯彻落实。</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jc w:val="right"/>
      </w:pPr>
      <w:r>
        <w:t>国务院办公厅</w:t>
      </w:r>
    </w:p>
    <w:p w:rsidR="00EF6586" w:rsidRDefault="00EF6586" w:rsidP="00EF6586">
      <w:pPr>
        <w:pStyle w:val="a3"/>
        <w:spacing w:before="0" w:beforeAutospacing="0" w:after="0" w:afterAutospacing="0"/>
        <w:jc w:val="right"/>
      </w:pPr>
      <w:r>
        <w:t>2019年6月26日</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jc w:val="right"/>
      </w:pPr>
      <w:r>
        <w:t>（此件公开发布）</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jc w:val="center"/>
      </w:pPr>
      <w:r>
        <w:rPr>
          <w:rStyle w:val="a4"/>
          <w:color w:val="5F9CEF"/>
          <w:sz w:val="22"/>
          <w:szCs w:val="22"/>
        </w:rPr>
        <w:t>交通运输领域中央与地方财政事权</w:t>
      </w:r>
    </w:p>
    <w:p w:rsidR="00EF6586" w:rsidRDefault="00EF6586" w:rsidP="00EF6586">
      <w:pPr>
        <w:pStyle w:val="a3"/>
        <w:spacing w:before="0" w:beforeAutospacing="0" w:after="0" w:afterAutospacing="0"/>
        <w:jc w:val="center"/>
      </w:pPr>
      <w:r>
        <w:rPr>
          <w:rStyle w:val="a4"/>
          <w:color w:val="5F9CEF"/>
          <w:sz w:val="22"/>
          <w:szCs w:val="22"/>
        </w:rPr>
        <w:t>和支出责任划分改革方案</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按照党中央、国务院有关决策部署，现就交通运输领域中央与地方财政事权和支出责任划分改革制定如下方案。</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rPr>
          <w:rStyle w:val="a4"/>
          <w:color w:val="5F9CEF"/>
        </w:rPr>
        <w:t>一、总体要求</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rPr>
          <w:color w:val="5F9CEF"/>
        </w:rPr>
        <w:t>（一）指导思想。</w:t>
      </w:r>
      <w:r>
        <w:t>以习近平新时代中国特色社会主义思想为指导，全面贯彻落实党的十九大和十九届二中、三中全会精神，统筹推进“五位一体”总体布局，协调推进“四个全面”战略布局，坚持和加强党的全面领导，坚持稳中求进工作总基调，坚持新发展理念，坚持推动高质量发展，坚持以供给侧结构性改革为主线，合理划分交通运输领域中央与地方财政事权和支出责任，通过改革形成与现代财政制度相匹配、与国家治理体系和治理能力现代化要求相适应的划分模式，为推进“四好农村路”建设、构建现代综合交通运输体系、建设交通强国提供有力保障。</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rPr>
          <w:color w:val="5F9CEF"/>
        </w:rPr>
        <w:t>（二）基本原则。</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充分调动各方积极性。在完善中央决策、地方执行机制的基础上，适度加强中央政府承担交通运输基本公共服务的职责和能力，落实好地方政府在中央授权范围内的责任，充分发挥地方政府区域管理优势和积极性，保障改革举措落实落地。</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lastRenderedPageBreak/>
        <w:t>——坚持人民交通为人民。把满足人民日益增长的美好生活需要作为出发点和落脚点，提高交通运输基本公共服务供给效率，着力解决交通运输领域发展不平衡不充分问题，不断增强人民群众的获得感、幸福感、安全感。</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——遵循交通运输行业发展规律。充分考虑行业特点，对运转情况良好、管理行之有效、符合行业发展规律的事项进行总结和确认，对存在问题的事项进行调整和完善，稳步推进相关改革。</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rPr>
          <w:rStyle w:val="a4"/>
          <w:color w:val="5F9CEF"/>
        </w:rPr>
        <w:t>二、主要内容</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根据《国务院关于推进中央与地方财政事权和支出责任划分改革的指导意见》（国发〔2016〕49号），按照上述总体要求和交通运输工作的特点，划分公路、水路、铁路、民航、邮政、综合交通六个方面的中央与地方财政事权和支出责任。</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rPr>
          <w:color w:val="5F9CEF"/>
        </w:rPr>
        <w:t>（一）中央财政事权。</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1.公路。（1）国道。中央承担国道（包括国家高速公路和普通国道）的宏观管理、专项规划、政策制定、监督评价、路网运行监测和协调，国家高速公路中由中央负责部分的建设和管理，普通国道中由中央负责部分的建设、管理和养护等职责。中央承担国家高速公路建设资本金中相应支出，承担普通国道建设、养护和管理中由中央负责事项的相应支出。（2）界河桥梁。中央承担专项规划、政策决定、监督评价职责，建设、养护、管理、运营等具体执行事项由中央委托地方实施。（3）边境口岸汽车出入境运输管理。中央承担专项规划、政策决定、监督评价职责，建设、养护、管理、运营等具体执行事项由中央委托地方实施。界河桥梁、边境口岸汽车出入境运输管理由中央承担支出责任。</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2.水路。（1）长江干线航道。中央承担专项规划、政策决定、监督评价职责，建设、养护、管理、运营等具体执行事项由中央实施。（2）西江航运干线。中央承担专项规划、政策决定、监督评价职责，建设、养护、管理、运营等具体执行事项视改革进展情况，逐步由中央实施；在改革到位之前，按照现行管理体制执行。（3）国境、国际通航河流航道。中央承担专项规划、政策决定、监督评价职责，建设、养护、管理（包括航运管理）、运营等具体执行事项由中央实施或委托地方实施。（4）中央管理水域水上安全监管和应急救助打捞。中央承担专项规划、政策决定、监督评价职责，具体执行事项由中央实施。上述水路领域事项由中央承担支出责任。</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3.铁路。（1）宏观管理。中央承担全国铁路的专项规划、政策决定、监督评价、路网统一调度和管理等职责。（2）由中央决策的铁路公益性运输。中央承担相应的管理职责，具体执行事项由中央（含中央企业）实施。（3）其他事项。中央承担国家及行业标准制定，铁路运输调度指挥，国家铁路、国家铁路运输企业实际管理合资铁路的安全保卫，铁路生产安全事故调查处理，铁路突发事件应急预案编制，交通卫生检疫等公共卫生管理，铁路行业科技创新等职责。上述铁路领域事项由中央（含中央企业）承担支出责任。</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lastRenderedPageBreak/>
        <w:t>4.民航。（1）空中交通管理。中央承担专项规划、政策决定、监督评价职责，具体执行事项由中央实施。（2）民航安全管理。中央承担政策决定、监督评价职责，具体执行事项由中央（含中央企业）实施。（3）专项任务机队建设和运营。中央承担相应的管理职责，具体执行事项由中央（含中央企业）实施。（4）重大和紧急航空运输。中央承担政策决定、监督评价等职责，具体执行事项由中央（含中央企业）实施。上述民航领域事项由中央（含中央企业）承担支出责任。</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5.邮政。（1）邮政普遍服务和特殊服务主干网络。中央承担专项规划、政策决定、监督评价职责，建设、维护、管理、运营等具体执行事项由中央（含中央企业）实施。（2）邮件和快件进出境设施。中央承担专项规划、政策决定、监督评价职责，建设、维护、管理、运营等具体执行事项由中央（含中央企业）实施或委托地方实施。（3）其他事项。中央承担保障邮政通信和信息安全等方面的职责。上述邮政领域事项由中央（含中央企业）承担支出责任。</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此外，公路、水路、铁路、民航、邮政、综合交通领域中央履职能力建设，由中央承担财政事权和支出责任，主要包括相关领域中央履行行业管理职责所开展的全局性、战略性和前瞻性重大问题研究，发展战略、规划、政策、标准与相关法律法规制定，基础类、公益类国家及行业标准制定，行业监管，行业统计与运行监测，开展国际合作等事项。</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rPr>
          <w:color w:val="5F9CEF"/>
        </w:rPr>
        <w:t>（二）中央与地方共同财政事权。</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1.公路。（1）国家级口岸公路。中央承担专项规划、政策决定、监督评价职责，建设、养护、管理、运营等具体执行事项由地方实施。（2）国家区域性公路应急装备物资储备。中央承担专项规划、政策决定、监督评价职责，具体执行事项由地方实施。上述公路领域事项由中央和地方共同承担支出责任。</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2.水路。（1）京杭运河及其他内河高等级航道。中央承担专项规划、政策决定、监督评价职责，建设、养护、管理、运营等具体执行事项由地方实施。（2）沿海港口公共基础设施。中央承担沿海港口的专项规划、政策决定、监督评价职责，沿海港口公共基础设施的建设、养护、管理、运营等具体执行事项由地方实施。（3）重大海上溢油应急处置和海（水）上搜救。中央承担政策决定、监督评价等职责，具体执行事项由中央与地方共同实施。发挥地方政府组织能力强、贴近基层、获取信息便利的优势，强化地方政府在重大海上溢油应急处置和海（水）上搜救方面的相关职责。（4）水运绿色发展。中央承担专项规划、政策决定、监督评价职责，具体执行事项由地方实施。上述水路领域事项由中央与地方共同承担支出责任。</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3.铁路。中央（含中央企业）与地方共同承担干线铁路的组织实施职责，包括建设、养护、管理、运营等具体执行事项，其中干线铁路的运营管理由中央企业负责实施。中央（含中央企业）与地方共同承担支出责任。</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4.民航。中央与地方共同承担运输机场相关职责。其中，中央承担运输机场布局、建设规划、政策决定和相关审批工作等职责，国务院明确规定由民航局直接管理</w:t>
      </w:r>
      <w:r>
        <w:lastRenderedPageBreak/>
        <w:t>的北京首都国际机场、北京大兴国际机场、天津机场、西藏区内机场、洛阳机场的建设、维护、运营等具体执行事项由中央（含中央企业）负责实施；地方根据全国运输机场布局和建设规划，制定本行政区域内的运输机场建设规划，并负责建设、运营、机场公安等具体事项的执行实施。中央（含中央企业）与地方共同承担支出责任。</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5.邮政。（1）邮政业安全管理和安全监管。中央承担专项规划、政策决定、监督评价职责，具体执行事项由中央（含中央企业）与地方共同实施。（2）其他邮政公共服务。中央承担专项规划、政策决定、监督评价职责，具体执行事项由中央（含中央企业）与地方共同实施。上述邮政领域事项由中央（含中央企业）与地方共同承担支出责任。</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6.综合交通。（1）运输结构调整、全国性综合运输枢纽与集疏运体系。中央承担专项规划、政策决定、监督评价职责，建设、养护、管理、运营等具体执行事项由中央（含中央企业）与地方共同实施。（2）综合交通应急保障。中央与地方共同承担国家应急性交通运输公共服务、军民融合和国防交通动员能力建设与管理、国家特殊重点物资运输保障等职责。（3）综合交通行业管理信息化。中央承担专项规划、政策决定、监督评价职责，建设、维护、管理、运营等具体执行事项由地方实施。上述综合交通领域事项由中央（含中央企业）与地方共同承担支出责任。</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rPr>
          <w:color w:val="5F9CEF"/>
        </w:rPr>
        <w:t>（三）地方财政事权。</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1.公路。（1）国道。地方承担国道（包括国家高速公路和普通国道）的建设、养护、管理、运营、应急处置的相应职责和具体组织实施。地方负责筹集国家高速公路建设中除中央财政出资以外的其余资金，承担普通国道建设、养护、管理、运营中除中央支出以外的其余支出。（2）省道、农村公路、道路运输站场。地方承担专项规划、政策决定、监督评价职责，并承担建设、养护、管理、运营等具体事项的执行实施。（3）道路运输管理。地方承担专项规划、政策决定、监督评价职责，并承担具体事项的执行实施。省道、农村公路、道路运输站场和道路运输管理由地方承担支出责任。</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2.水路。（1）其他内河航道、内河港口公共锚地、陆岛交通码头。地方承担专项规划、政策决定、监督评价职责，并承担建设、养护、管理、运营等具体事项的执行实施。（2）客运码头安全检测设施、农村水上客渡运管理。地方承担专项规划、政策决定、监督评价职责，并承担建设、养护、管理、运营等具体事项的执行实施。（3）地方管理水域的水上安全监管和搜寻救助。地方承担具体事项的执行实施。上述水路领域事项由地方承担支出责任。</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3.铁路。（1）城际铁路、市域（郊）铁路、支线铁路、铁路专用线。建设、养护、管理、运营等具体执行事项由地方实施或由地方委托中央企业实施。（2）由地方决策的铁路公益性运输。地方承担相应的管理职责，具体执行事项由地方实施或由地方委托中央企业实施。（3）其他事项。地方承担铁路沿线（红线外）环境污染治理和铁路沿线安全环境整治，除国家铁路、国家铁路运输企业实际管</w:t>
      </w:r>
      <w:r>
        <w:lastRenderedPageBreak/>
        <w:t>理合资铁路外的其他铁路的安全保卫职责。上述铁路领域事项由地方承担支出责任。</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4.民航。地方承担通用机场相关职责，主要包括本行政区域内通用机场布局和建设规划、相关审批工作，并负责通用机场的建设、维护、运营等具体事项的执行实施（民航局及其所属企事业单位所有的通用机场除外），承担相应支出责任。</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5.邮政。地方承担邮政普遍服务、特殊服务和快递服务末端基础设施，邮政业环境污染治理等相关职责，负责规划、建设、维护、运营等具体事项的执行实施，承担相应支出责任。</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6.综合交通。地方承担一般性综合运输枢纽相关职责，主要包括专项规划、政策决定、监督评价等，负责建设、维护、管理、运营等具体事项的执行实施，承担相应支出责任。</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此外，公路、水路、铁路、民航、邮政、综合交通领域地方履职能力建设，由地方承担财政事权和支出责任，主要包括相关领域地方履行行业管理职责所开展的重大问题研究、地方相关政策法规及地方标准制定，本行政区域内行业监管，本行政区域内行业统计与运行监测，应急性交通运输公共服务等事项。</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中央与新疆生产建设兵团财政事权和支出责任划分，参照中央与地方划分原则执行；财政支持政策原则上参照新疆维吾尔自治区执行，并适当考虑新疆生产建设兵团的特殊因素。交通运输领域的其他未列事项，按照改革的总体要求和事项特点具体确定财政事权和支出责任。</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rPr>
          <w:rStyle w:val="a4"/>
          <w:color w:val="5F9CEF"/>
          <w:sz w:val="22"/>
          <w:szCs w:val="22"/>
        </w:rPr>
        <w:t>三、配套措施</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rPr>
          <w:color w:val="5F9CEF"/>
        </w:rPr>
        <w:t>（一）加强组织领导，确保改革落实。</w:t>
      </w:r>
      <w:r>
        <w:t>各地区、各有关部门要增强“四个意识”，坚定“四个自信”，做到“两个维护”，切实加强组织领导与协调配合。国务院有关部门和单位要根据本方案，细化实化改革任务和举措，强化对改革任务进展情况的督查和评估。各地区要认真执行相关政策，履行好提供交通运输基本公共服务的职责，确保改革顺利实施。</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rPr>
          <w:color w:val="5F9CEF"/>
        </w:rPr>
        <w:t>（二）落实支出责任，强化投入保障。</w:t>
      </w:r>
      <w:r>
        <w:t>各地区、各有关部门要根据本方案，按规定做好预算安排和投资计划，切实落实支出责任。对属于地方财政事权的，原则上由地方政府通过自有财力安排，确保地方承担的支出责任落实到位。对地方政府履行财政事权、落实支出责任存在收支缺口的，上级政府可根据不同时期发展目标给予一定的资金支持。</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rPr>
          <w:color w:val="5F9CEF"/>
        </w:rPr>
        <w:t>（三）加强省级统筹，推进省以下改革。</w:t>
      </w:r>
      <w:r>
        <w:t>各地区要根据本方案精神，结合本地实际情况，按照财税体制改革要求，制定省以下交通运输领域财政事权和支出责任划分改革方案，组织推动相关改革工作。要加强省级统筹，适度加强省级政府承担交通运输基本公共服务的职责和能力，避免将过多支出责任交由基层政府承担。</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rPr>
          <w:color w:val="5F9CEF"/>
        </w:rPr>
        <w:lastRenderedPageBreak/>
        <w:t>（四）协同推进改革，形成良性互动。</w:t>
      </w:r>
      <w:r>
        <w:t>要积极稳妥统筹推进交通运输领域财政事权和支出责任划分改革，与交通运输领域现有重大改革有机衔接、整体推进、务求实效。要强化顶层设计，准确把握各项改革措施出台的时机、力度和节奏，形成良性互动、协同推进的局面。要完善预算管理制度，全面实施预算绩效管理，盘活存量资金，优化支出结构，着力提高交通运输领域资金配置效率和使用效益。</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rPr>
          <w:color w:val="5F9CEF"/>
        </w:rPr>
        <w:t>（五）完善配套制度，促进规范运行。</w:t>
      </w:r>
      <w:r>
        <w:t>各地区、各有关部门要在全面系统梳理交通运输领域财政事权方面相关法律制度的基础上，抓紧修订相关管理制度，推动研究完善相关法律、法规及部门规章，逐步实现交通运输领域财政事权和支出责任划分的法治化、规范化。</w:t>
      </w:r>
    </w:p>
    <w:p w:rsidR="00EF6586" w:rsidRDefault="00EF6586" w:rsidP="00EF6586">
      <w:pPr>
        <w:pStyle w:val="a3"/>
        <w:spacing w:before="0" w:beforeAutospacing="0" w:after="0" w:afterAutospacing="0"/>
      </w:pPr>
    </w:p>
    <w:p w:rsidR="00EF6586" w:rsidRDefault="00EF6586" w:rsidP="00EF6586">
      <w:pPr>
        <w:pStyle w:val="a3"/>
        <w:spacing w:before="0" w:beforeAutospacing="0" w:after="0" w:afterAutospacing="0"/>
      </w:pPr>
      <w:r>
        <w:t>本方案自2020年1月1日起实施。</w:t>
      </w:r>
    </w:p>
    <w:p w:rsidR="00525F5F" w:rsidRDefault="00525F5F"/>
    <w:sectPr w:rsidR="00525F5F" w:rsidSect="00525F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6586"/>
    <w:rsid w:val="00000046"/>
    <w:rsid w:val="0000032E"/>
    <w:rsid w:val="00000FB8"/>
    <w:rsid w:val="0001591A"/>
    <w:rsid w:val="00016659"/>
    <w:rsid w:val="0002026E"/>
    <w:rsid w:val="00020B26"/>
    <w:rsid w:val="00020EA1"/>
    <w:rsid w:val="0002127C"/>
    <w:rsid w:val="0002335A"/>
    <w:rsid w:val="00025511"/>
    <w:rsid w:val="00026133"/>
    <w:rsid w:val="00030398"/>
    <w:rsid w:val="00030C7B"/>
    <w:rsid w:val="00030E73"/>
    <w:rsid w:val="00037558"/>
    <w:rsid w:val="000379CD"/>
    <w:rsid w:val="00042C4D"/>
    <w:rsid w:val="00047544"/>
    <w:rsid w:val="000475AF"/>
    <w:rsid w:val="000475CA"/>
    <w:rsid w:val="000502AA"/>
    <w:rsid w:val="0005173C"/>
    <w:rsid w:val="00051782"/>
    <w:rsid w:val="00052376"/>
    <w:rsid w:val="00060F49"/>
    <w:rsid w:val="0006164A"/>
    <w:rsid w:val="00062708"/>
    <w:rsid w:val="00062C4F"/>
    <w:rsid w:val="000633EA"/>
    <w:rsid w:val="00064242"/>
    <w:rsid w:val="00071D53"/>
    <w:rsid w:val="00074724"/>
    <w:rsid w:val="00074982"/>
    <w:rsid w:val="00075A9C"/>
    <w:rsid w:val="000819DE"/>
    <w:rsid w:val="0008258B"/>
    <w:rsid w:val="0008575C"/>
    <w:rsid w:val="000866C6"/>
    <w:rsid w:val="00090456"/>
    <w:rsid w:val="00090863"/>
    <w:rsid w:val="000909CC"/>
    <w:rsid w:val="00090FB9"/>
    <w:rsid w:val="0009120B"/>
    <w:rsid w:val="00091846"/>
    <w:rsid w:val="00092A48"/>
    <w:rsid w:val="00094513"/>
    <w:rsid w:val="000A35FE"/>
    <w:rsid w:val="000A6362"/>
    <w:rsid w:val="000A6E6E"/>
    <w:rsid w:val="000A75B1"/>
    <w:rsid w:val="000B00F2"/>
    <w:rsid w:val="000B325D"/>
    <w:rsid w:val="000B60BB"/>
    <w:rsid w:val="000C0FCB"/>
    <w:rsid w:val="000C1F67"/>
    <w:rsid w:val="000C710B"/>
    <w:rsid w:val="000D03DB"/>
    <w:rsid w:val="000D215C"/>
    <w:rsid w:val="000D246F"/>
    <w:rsid w:val="000D2B4A"/>
    <w:rsid w:val="000D334B"/>
    <w:rsid w:val="000D34BB"/>
    <w:rsid w:val="000D37EE"/>
    <w:rsid w:val="000D6E72"/>
    <w:rsid w:val="000E1C79"/>
    <w:rsid w:val="000E25A5"/>
    <w:rsid w:val="000E2C3F"/>
    <w:rsid w:val="000F0058"/>
    <w:rsid w:val="000F2510"/>
    <w:rsid w:val="000F4C6C"/>
    <w:rsid w:val="000F6BCC"/>
    <w:rsid w:val="00100B53"/>
    <w:rsid w:val="00100CDC"/>
    <w:rsid w:val="001046AA"/>
    <w:rsid w:val="001048BC"/>
    <w:rsid w:val="00104F4A"/>
    <w:rsid w:val="00105115"/>
    <w:rsid w:val="00105981"/>
    <w:rsid w:val="00105E35"/>
    <w:rsid w:val="00106EC6"/>
    <w:rsid w:val="001103B9"/>
    <w:rsid w:val="001105FF"/>
    <w:rsid w:val="0011094D"/>
    <w:rsid w:val="00110EDD"/>
    <w:rsid w:val="00111A21"/>
    <w:rsid w:val="00112291"/>
    <w:rsid w:val="001136B1"/>
    <w:rsid w:val="0011737D"/>
    <w:rsid w:val="001202E6"/>
    <w:rsid w:val="00121198"/>
    <w:rsid w:val="00123502"/>
    <w:rsid w:val="00124BA8"/>
    <w:rsid w:val="00125E19"/>
    <w:rsid w:val="00126FFD"/>
    <w:rsid w:val="00127FD8"/>
    <w:rsid w:val="00133112"/>
    <w:rsid w:val="00135D0C"/>
    <w:rsid w:val="00135F80"/>
    <w:rsid w:val="00136DC4"/>
    <w:rsid w:val="00142B3F"/>
    <w:rsid w:val="001463F6"/>
    <w:rsid w:val="001464A9"/>
    <w:rsid w:val="0014725E"/>
    <w:rsid w:val="00147E15"/>
    <w:rsid w:val="00151809"/>
    <w:rsid w:val="00151F7B"/>
    <w:rsid w:val="001570C1"/>
    <w:rsid w:val="0015718E"/>
    <w:rsid w:val="001612B0"/>
    <w:rsid w:val="00161C36"/>
    <w:rsid w:val="001640ED"/>
    <w:rsid w:val="001641B2"/>
    <w:rsid w:val="0016582F"/>
    <w:rsid w:val="00166942"/>
    <w:rsid w:val="00172993"/>
    <w:rsid w:val="001730B0"/>
    <w:rsid w:val="00174303"/>
    <w:rsid w:val="00174432"/>
    <w:rsid w:val="00174ACA"/>
    <w:rsid w:val="00174BFE"/>
    <w:rsid w:val="0017514E"/>
    <w:rsid w:val="00176B2F"/>
    <w:rsid w:val="001772FD"/>
    <w:rsid w:val="001779D3"/>
    <w:rsid w:val="0018043D"/>
    <w:rsid w:val="00182C1A"/>
    <w:rsid w:val="00182C9D"/>
    <w:rsid w:val="0018326E"/>
    <w:rsid w:val="00183C81"/>
    <w:rsid w:val="0018439A"/>
    <w:rsid w:val="001848B3"/>
    <w:rsid w:val="00184C30"/>
    <w:rsid w:val="0018540F"/>
    <w:rsid w:val="00185766"/>
    <w:rsid w:val="00185E5A"/>
    <w:rsid w:val="00190E27"/>
    <w:rsid w:val="00191515"/>
    <w:rsid w:val="00194A05"/>
    <w:rsid w:val="001954C8"/>
    <w:rsid w:val="00195F4E"/>
    <w:rsid w:val="001969A3"/>
    <w:rsid w:val="00197DED"/>
    <w:rsid w:val="001A0767"/>
    <w:rsid w:val="001A4D8A"/>
    <w:rsid w:val="001A69A7"/>
    <w:rsid w:val="001A6F00"/>
    <w:rsid w:val="001B0EF3"/>
    <w:rsid w:val="001B3C63"/>
    <w:rsid w:val="001B7A6D"/>
    <w:rsid w:val="001C0089"/>
    <w:rsid w:val="001C114B"/>
    <w:rsid w:val="001C6B26"/>
    <w:rsid w:val="001C6F19"/>
    <w:rsid w:val="001C7EF7"/>
    <w:rsid w:val="001D474E"/>
    <w:rsid w:val="001D5ECC"/>
    <w:rsid w:val="001D776A"/>
    <w:rsid w:val="001D7E24"/>
    <w:rsid w:val="001D7F5F"/>
    <w:rsid w:val="001E2C3B"/>
    <w:rsid w:val="001E4EA8"/>
    <w:rsid w:val="001E6C21"/>
    <w:rsid w:val="001E6F8A"/>
    <w:rsid w:val="001F366B"/>
    <w:rsid w:val="001F48B4"/>
    <w:rsid w:val="001F4941"/>
    <w:rsid w:val="001F694F"/>
    <w:rsid w:val="00201862"/>
    <w:rsid w:val="00202587"/>
    <w:rsid w:val="00203CE9"/>
    <w:rsid w:val="00203D71"/>
    <w:rsid w:val="00205B3A"/>
    <w:rsid w:val="0020642E"/>
    <w:rsid w:val="002071F0"/>
    <w:rsid w:val="00207EA5"/>
    <w:rsid w:val="002119CE"/>
    <w:rsid w:val="002134CF"/>
    <w:rsid w:val="002167BD"/>
    <w:rsid w:val="00216EB1"/>
    <w:rsid w:val="00225345"/>
    <w:rsid w:val="0022720E"/>
    <w:rsid w:val="0022750A"/>
    <w:rsid w:val="00227935"/>
    <w:rsid w:val="00230133"/>
    <w:rsid w:val="0023057B"/>
    <w:rsid w:val="00236B47"/>
    <w:rsid w:val="00237B5C"/>
    <w:rsid w:val="002423DC"/>
    <w:rsid w:val="00242C2B"/>
    <w:rsid w:val="002432A6"/>
    <w:rsid w:val="00244B55"/>
    <w:rsid w:val="00246248"/>
    <w:rsid w:val="002468C5"/>
    <w:rsid w:val="00250FCD"/>
    <w:rsid w:val="00254315"/>
    <w:rsid w:val="00254E15"/>
    <w:rsid w:val="00256C74"/>
    <w:rsid w:val="00257B17"/>
    <w:rsid w:val="002611BB"/>
    <w:rsid w:val="00261C59"/>
    <w:rsid w:val="00262846"/>
    <w:rsid w:val="00262C01"/>
    <w:rsid w:val="00266B04"/>
    <w:rsid w:val="00267A37"/>
    <w:rsid w:val="00267B20"/>
    <w:rsid w:val="0027082B"/>
    <w:rsid w:val="002743AD"/>
    <w:rsid w:val="002756FA"/>
    <w:rsid w:val="002758A5"/>
    <w:rsid w:val="00275C41"/>
    <w:rsid w:val="00276D29"/>
    <w:rsid w:val="002834B1"/>
    <w:rsid w:val="00283E8E"/>
    <w:rsid w:val="0028559C"/>
    <w:rsid w:val="00286095"/>
    <w:rsid w:val="00286C0F"/>
    <w:rsid w:val="00293F66"/>
    <w:rsid w:val="00294733"/>
    <w:rsid w:val="00295619"/>
    <w:rsid w:val="002A493F"/>
    <w:rsid w:val="002A607F"/>
    <w:rsid w:val="002A7911"/>
    <w:rsid w:val="002B125C"/>
    <w:rsid w:val="002B1A30"/>
    <w:rsid w:val="002B6ACD"/>
    <w:rsid w:val="002B6BCD"/>
    <w:rsid w:val="002B72D7"/>
    <w:rsid w:val="002C3C60"/>
    <w:rsid w:val="002C4804"/>
    <w:rsid w:val="002C7F19"/>
    <w:rsid w:val="002D03F0"/>
    <w:rsid w:val="002D2C13"/>
    <w:rsid w:val="002D3ED8"/>
    <w:rsid w:val="002D596C"/>
    <w:rsid w:val="002E1F6C"/>
    <w:rsid w:val="002E493D"/>
    <w:rsid w:val="002E5046"/>
    <w:rsid w:val="002E62B2"/>
    <w:rsid w:val="002E6597"/>
    <w:rsid w:val="002E69C8"/>
    <w:rsid w:val="002E7B26"/>
    <w:rsid w:val="002F0310"/>
    <w:rsid w:val="002F1092"/>
    <w:rsid w:val="002F4149"/>
    <w:rsid w:val="00301685"/>
    <w:rsid w:val="00301C9C"/>
    <w:rsid w:val="00302F72"/>
    <w:rsid w:val="00302FE5"/>
    <w:rsid w:val="00304E1E"/>
    <w:rsid w:val="00305375"/>
    <w:rsid w:val="003053FD"/>
    <w:rsid w:val="00306B68"/>
    <w:rsid w:val="00306D1B"/>
    <w:rsid w:val="00307052"/>
    <w:rsid w:val="003110DA"/>
    <w:rsid w:val="00313517"/>
    <w:rsid w:val="00313EED"/>
    <w:rsid w:val="003156FF"/>
    <w:rsid w:val="00316776"/>
    <w:rsid w:val="003208D3"/>
    <w:rsid w:val="00324860"/>
    <w:rsid w:val="00327347"/>
    <w:rsid w:val="00327AD2"/>
    <w:rsid w:val="00331D8C"/>
    <w:rsid w:val="00332B6B"/>
    <w:rsid w:val="00333C52"/>
    <w:rsid w:val="00334B41"/>
    <w:rsid w:val="003360AA"/>
    <w:rsid w:val="003361F5"/>
    <w:rsid w:val="00340D09"/>
    <w:rsid w:val="0034271B"/>
    <w:rsid w:val="00343EEE"/>
    <w:rsid w:val="003457A8"/>
    <w:rsid w:val="0034666E"/>
    <w:rsid w:val="003519A3"/>
    <w:rsid w:val="003524DC"/>
    <w:rsid w:val="00353043"/>
    <w:rsid w:val="00356BF9"/>
    <w:rsid w:val="0036015F"/>
    <w:rsid w:val="003603C7"/>
    <w:rsid w:val="003610B6"/>
    <w:rsid w:val="003626D1"/>
    <w:rsid w:val="00362A5A"/>
    <w:rsid w:val="00363470"/>
    <w:rsid w:val="00364370"/>
    <w:rsid w:val="003644B2"/>
    <w:rsid w:val="00364EA4"/>
    <w:rsid w:val="003663B6"/>
    <w:rsid w:val="00366646"/>
    <w:rsid w:val="00367879"/>
    <w:rsid w:val="003678B9"/>
    <w:rsid w:val="00367ADC"/>
    <w:rsid w:val="00367E74"/>
    <w:rsid w:val="00372AA6"/>
    <w:rsid w:val="00375E3C"/>
    <w:rsid w:val="00380AB4"/>
    <w:rsid w:val="003827C5"/>
    <w:rsid w:val="00382CB8"/>
    <w:rsid w:val="003834F5"/>
    <w:rsid w:val="00383A2D"/>
    <w:rsid w:val="00391286"/>
    <w:rsid w:val="003923EC"/>
    <w:rsid w:val="00393294"/>
    <w:rsid w:val="00394699"/>
    <w:rsid w:val="00397C7E"/>
    <w:rsid w:val="00397D8B"/>
    <w:rsid w:val="003A1F39"/>
    <w:rsid w:val="003A2116"/>
    <w:rsid w:val="003A30B1"/>
    <w:rsid w:val="003A760A"/>
    <w:rsid w:val="003B08BB"/>
    <w:rsid w:val="003B2B14"/>
    <w:rsid w:val="003B5EE0"/>
    <w:rsid w:val="003C4A17"/>
    <w:rsid w:val="003C61A4"/>
    <w:rsid w:val="003C6D78"/>
    <w:rsid w:val="003C6F3B"/>
    <w:rsid w:val="003D15FD"/>
    <w:rsid w:val="003D28A5"/>
    <w:rsid w:val="003D6B59"/>
    <w:rsid w:val="003E3A01"/>
    <w:rsid w:val="003E3E53"/>
    <w:rsid w:val="003E5670"/>
    <w:rsid w:val="003E6144"/>
    <w:rsid w:val="003E67A5"/>
    <w:rsid w:val="003E77B7"/>
    <w:rsid w:val="003E7F9C"/>
    <w:rsid w:val="003F26B5"/>
    <w:rsid w:val="003F3ED4"/>
    <w:rsid w:val="004012DC"/>
    <w:rsid w:val="00404F50"/>
    <w:rsid w:val="0040585E"/>
    <w:rsid w:val="00407329"/>
    <w:rsid w:val="00407C58"/>
    <w:rsid w:val="00407CFC"/>
    <w:rsid w:val="00407DE4"/>
    <w:rsid w:val="0041039D"/>
    <w:rsid w:val="00411E56"/>
    <w:rsid w:val="004133F9"/>
    <w:rsid w:val="00421BAF"/>
    <w:rsid w:val="00422ECC"/>
    <w:rsid w:val="00425723"/>
    <w:rsid w:val="00425FF4"/>
    <w:rsid w:val="004263B7"/>
    <w:rsid w:val="00432F2D"/>
    <w:rsid w:val="004344F8"/>
    <w:rsid w:val="0043476B"/>
    <w:rsid w:val="004362FF"/>
    <w:rsid w:val="00440D9B"/>
    <w:rsid w:val="00442957"/>
    <w:rsid w:val="0044386A"/>
    <w:rsid w:val="00444B61"/>
    <w:rsid w:val="00445AB6"/>
    <w:rsid w:val="00447E3C"/>
    <w:rsid w:val="00450527"/>
    <w:rsid w:val="00450ADC"/>
    <w:rsid w:val="0045179A"/>
    <w:rsid w:val="004546E7"/>
    <w:rsid w:val="00455C5B"/>
    <w:rsid w:val="004602C3"/>
    <w:rsid w:val="0046178D"/>
    <w:rsid w:val="00463A19"/>
    <w:rsid w:val="004640E4"/>
    <w:rsid w:val="00465B5D"/>
    <w:rsid w:val="004669BB"/>
    <w:rsid w:val="0047135D"/>
    <w:rsid w:val="00471A6E"/>
    <w:rsid w:val="00481AF7"/>
    <w:rsid w:val="00481B78"/>
    <w:rsid w:val="00483720"/>
    <w:rsid w:val="00487325"/>
    <w:rsid w:val="004928F3"/>
    <w:rsid w:val="00496F96"/>
    <w:rsid w:val="0049704E"/>
    <w:rsid w:val="00497371"/>
    <w:rsid w:val="00497527"/>
    <w:rsid w:val="004A02EC"/>
    <w:rsid w:val="004A15E6"/>
    <w:rsid w:val="004A1CCF"/>
    <w:rsid w:val="004A2431"/>
    <w:rsid w:val="004A2E3F"/>
    <w:rsid w:val="004A33CD"/>
    <w:rsid w:val="004A41F7"/>
    <w:rsid w:val="004A5352"/>
    <w:rsid w:val="004A7993"/>
    <w:rsid w:val="004A7C44"/>
    <w:rsid w:val="004B1F87"/>
    <w:rsid w:val="004B30AA"/>
    <w:rsid w:val="004B342E"/>
    <w:rsid w:val="004B3824"/>
    <w:rsid w:val="004B55CD"/>
    <w:rsid w:val="004B5BAF"/>
    <w:rsid w:val="004B6A34"/>
    <w:rsid w:val="004B6E90"/>
    <w:rsid w:val="004B74C0"/>
    <w:rsid w:val="004B7A1F"/>
    <w:rsid w:val="004C239E"/>
    <w:rsid w:val="004D0BE5"/>
    <w:rsid w:val="004D1C4E"/>
    <w:rsid w:val="004D266D"/>
    <w:rsid w:val="004D6A23"/>
    <w:rsid w:val="004D75C4"/>
    <w:rsid w:val="004D7643"/>
    <w:rsid w:val="004E1E9C"/>
    <w:rsid w:val="004E2BCF"/>
    <w:rsid w:val="004E3F47"/>
    <w:rsid w:val="004E511A"/>
    <w:rsid w:val="004E647A"/>
    <w:rsid w:val="004E7117"/>
    <w:rsid w:val="004E716D"/>
    <w:rsid w:val="004E7906"/>
    <w:rsid w:val="004E7C03"/>
    <w:rsid w:val="004F2A46"/>
    <w:rsid w:val="004F3C37"/>
    <w:rsid w:val="004F4521"/>
    <w:rsid w:val="004F472C"/>
    <w:rsid w:val="004F606F"/>
    <w:rsid w:val="004F62D9"/>
    <w:rsid w:val="004F6E87"/>
    <w:rsid w:val="004F6EB9"/>
    <w:rsid w:val="00500212"/>
    <w:rsid w:val="00503391"/>
    <w:rsid w:val="00504DD4"/>
    <w:rsid w:val="005121B3"/>
    <w:rsid w:val="0051373F"/>
    <w:rsid w:val="00513B6D"/>
    <w:rsid w:val="00514A9C"/>
    <w:rsid w:val="0051549B"/>
    <w:rsid w:val="00515535"/>
    <w:rsid w:val="00516135"/>
    <w:rsid w:val="00516E99"/>
    <w:rsid w:val="0051724E"/>
    <w:rsid w:val="00521FED"/>
    <w:rsid w:val="00522EE0"/>
    <w:rsid w:val="00524357"/>
    <w:rsid w:val="00524CD7"/>
    <w:rsid w:val="00525B48"/>
    <w:rsid w:val="00525F5F"/>
    <w:rsid w:val="005260F8"/>
    <w:rsid w:val="0052758B"/>
    <w:rsid w:val="00536D7D"/>
    <w:rsid w:val="00537944"/>
    <w:rsid w:val="0054157E"/>
    <w:rsid w:val="005451D2"/>
    <w:rsid w:val="00555251"/>
    <w:rsid w:val="00555A33"/>
    <w:rsid w:val="00555B0F"/>
    <w:rsid w:val="00555C9E"/>
    <w:rsid w:val="005576B7"/>
    <w:rsid w:val="00560A7A"/>
    <w:rsid w:val="00560CD8"/>
    <w:rsid w:val="0056129D"/>
    <w:rsid w:val="00561FD0"/>
    <w:rsid w:val="00562120"/>
    <w:rsid w:val="005655AB"/>
    <w:rsid w:val="00566653"/>
    <w:rsid w:val="00571A94"/>
    <w:rsid w:val="00571E92"/>
    <w:rsid w:val="005774A8"/>
    <w:rsid w:val="005846CA"/>
    <w:rsid w:val="005876AA"/>
    <w:rsid w:val="00591B53"/>
    <w:rsid w:val="00592E90"/>
    <w:rsid w:val="00594489"/>
    <w:rsid w:val="00594683"/>
    <w:rsid w:val="005951B1"/>
    <w:rsid w:val="00595B1E"/>
    <w:rsid w:val="005A01DD"/>
    <w:rsid w:val="005A024E"/>
    <w:rsid w:val="005A2ADD"/>
    <w:rsid w:val="005A3F84"/>
    <w:rsid w:val="005A7626"/>
    <w:rsid w:val="005B20CC"/>
    <w:rsid w:val="005B391E"/>
    <w:rsid w:val="005B6C16"/>
    <w:rsid w:val="005B7872"/>
    <w:rsid w:val="005C06FF"/>
    <w:rsid w:val="005C0C6D"/>
    <w:rsid w:val="005C27DA"/>
    <w:rsid w:val="005C2AB3"/>
    <w:rsid w:val="005C2B36"/>
    <w:rsid w:val="005C45A6"/>
    <w:rsid w:val="005C5A14"/>
    <w:rsid w:val="005C5C95"/>
    <w:rsid w:val="005C5D11"/>
    <w:rsid w:val="005C5D22"/>
    <w:rsid w:val="005C6044"/>
    <w:rsid w:val="005D42CF"/>
    <w:rsid w:val="005D440F"/>
    <w:rsid w:val="005D4A43"/>
    <w:rsid w:val="005D5F05"/>
    <w:rsid w:val="005D7197"/>
    <w:rsid w:val="005E1B53"/>
    <w:rsid w:val="005E1C6E"/>
    <w:rsid w:val="005E3181"/>
    <w:rsid w:val="005E3D9C"/>
    <w:rsid w:val="005E635B"/>
    <w:rsid w:val="005F1734"/>
    <w:rsid w:val="005F5B5B"/>
    <w:rsid w:val="005F7778"/>
    <w:rsid w:val="00600143"/>
    <w:rsid w:val="00600D16"/>
    <w:rsid w:val="0060451B"/>
    <w:rsid w:val="006051A5"/>
    <w:rsid w:val="00610105"/>
    <w:rsid w:val="00613029"/>
    <w:rsid w:val="00616893"/>
    <w:rsid w:val="0061789F"/>
    <w:rsid w:val="00617DC6"/>
    <w:rsid w:val="00620DB6"/>
    <w:rsid w:val="00621EB3"/>
    <w:rsid w:val="006221A5"/>
    <w:rsid w:val="0062459E"/>
    <w:rsid w:val="00624A2B"/>
    <w:rsid w:val="006300EF"/>
    <w:rsid w:val="00632F9E"/>
    <w:rsid w:val="006334B2"/>
    <w:rsid w:val="00634251"/>
    <w:rsid w:val="00634AE8"/>
    <w:rsid w:val="0063510D"/>
    <w:rsid w:val="0063525B"/>
    <w:rsid w:val="0063764C"/>
    <w:rsid w:val="006377C7"/>
    <w:rsid w:val="00640148"/>
    <w:rsid w:val="00643A44"/>
    <w:rsid w:val="00643E02"/>
    <w:rsid w:val="00651997"/>
    <w:rsid w:val="00654F95"/>
    <w:rsid w:val="00655775"/>
    <w:rsid w:val="00655968"/>
    <w:rsid w:val="0065640C"/>
    <w:rsid w:val="00657341"/>
    <w:rsid w:val="006646DB"/>
    <w:rsid w:val="00665051"/>
    <w:rsid w:val="00666073"/>
    <w:rsid w:val="006717C6"/>
    <w:rsid w:val="00673E3B"/>
    <w:rsid w:val="00675556"/>
    <w:rsid w:val="006761F4"/>
    <w:rsid w:val="00680BAF"/>
    <w:rsid w:val="00686769"/>
    <w:rsid w:val="00686DBD"/>
    <w:rsid w:val="0068782E"/>
    <w:rsid w:val="00690D00"/>
    <w:rsid w:val="00691A25"/>
    <w:rsid w:val="00693A34"/>
    <w:rsid w:val="00695CC7"/>
    <w:rsid w:val="00696A6F"/>
    <w:rsid w:val="00696C15"/>
    <w:rsid w:val="00696E46"/>
    <w:rsid w:val="0069708B"/>
    <w:rsid w:val="0069793F"/>
    <w:rsid w:val="006A0318"/>
    <w:rsid w:val="006B442E"/>
    <w:rsid w:val="006B4C2A"/>
    <w:rsid w:val="006B4DA1"/>
    <w:rsid w:val="006B6D63"/>
    <w:rsid w:val="006B7B22"/>
    <w:rsid w:val="006C073D"/>
    <w:rsid w:val="006C0826"/>
    <w:rsid w:val="006C1A4F"/>
    <w:rsid w:val="006C5601"/>
    <w:rsid w:val="006C670C"/>
    <w:rsid w:val="006C722A"/>
    <w:rsid w:val="006D160B"/>
    <w:rsid w:val="006D4280"/>
    <w:rsid w:val="006D4BAF"/>
    <w:rsid w:val="006D5398"/>
    <w:rsid w:val="006D5BC4"/>
    <w:rsid w:val="006D6E96"/>
    <w:rsid w:val="006D72F1"/>
    <w:rsid w:val="006E00CA"/>
    <w:rsid w:val="006E0679"/>
    <w:rsid w:val="006E0D53"/>
    <w:rsid w:val="006E1405"/>
    <w:rsid w:val="006E18FB"/>
    <w:rsid w:val="006E1D3F"/>
    <w:rsid w:val="006E3E79"/>
    <w:rsid w:val="006E4244"/>
    <w:rsid w:val="006E7955"/>
    <w:rsid w:val="006F0648"/>
    <w:rsid w:val="006F08CA"/>
    <w:rsid w:val="006F1911"/>
    <w:rsid w:val="006F3898"/>
    <w:rsid w:val="006F411D"/>
    <w:rsid w:val="006F4E86"/>
    <w:rsid w:val="006F55C3"/>
    <w:rsid w:val="006F5730"/>
    <w:rsid w:val="006F5864"/>
    <w:rsid w:val="006F61AE"/>
    <w:rsid w:val="006F66CE"/>
    <w:rsid w:val="00701FB6"/>
    <w:rsid w:val="00711F95"/>
    <w:rsid w:val="00712035"/>
    <w:rsid w:val="0071218D"/>
    <w:rsid w:val="00713EB3"/>
    <w:rsid w:val="00714D25"/>
    <w:rsid w:val="0071686F"/>
    <w:rsid w:val="00721904"/>
    <w:rsid w:val="00725BAE"/>
    <w:rsid w:val="00726003"/>
    <w:rsid w:val="00726FCC"/>
    <w:rsid w:val="00735CDF"/>
    <w:rsid w:val="00736D54"/>
    <w:rsid w:val="00741DB5"/>
    <w:rsid w:val="007422EC"/>
    <w:rsid w:val="0074295D"/>
    <w:rsid w:val="00746451"/>
    <w:rsid w:val="00753D9A"/>
    <w:rsid w:val="00753FAE"/>
    <w:rsid w:val="0075431D"/>
    <w:rsid w:val="0075444A"/>
    <w:rsid w:val="00757B50"/>
    <w:rsid w:val="00760C01"/>
    <w:rsid w:val="007628C9"/>
    <w:rsid w:val="00763BC3"/>
    <w:rsid w:val="007640C0"/>
    <w:rsid w:val="00764AA5"/>
    <w:rsid w:val="007667C9"/>
    <w:rsid w:val="00767C56"/>
    <w:rsid w:val="007716C2"/>
    <w:rsid w:val="007729DC"/>
    <w:rsid w:val="007759FA"/>
    <w:rsid w:val="007776A6"/>
    <w:rsid w:val="007803BA"/>
    <w:rsid w:val="00781C5B"/>
    <w:rsid w:val="00781F60"/>
    <w:rsid w:val="0078299B"/>
    <w:rsid w:val="007841B8"/>
    <w:rsid w:val="00785028"/>
    <w:rsid w:val="0078758E"/>
    <w:rsid w:val="00787F87"/>
    <w:rsid w:val="007908E3"/>
    <w:rsid w:val="00791735"/>
    <w:rsid w:val="0079774E"/>
    <w:rsid w:val="007A2218"/>
    <w:rsid w:val="007A391C"/>
    <w:rsid w:val="007A4588"/>
    <w:rsid w:val="007A4EF9"/>
    <w:rsid w:val="007A6C48"/>
    <w:rsid w:val="007B07F6"/>
    <w:rsid w:val="007B0E75"/>
    <w:rsid w:val="007B3D8E"/>
    <w:rsid w:val="007B7768"/>
    <w:rsid w:val="007B7ED6"/>
    <w:rsid w:val="007C02BF"/>
    <w:rsid w:val="007C3026"/>
    <w:rsid w:val="007C3515"/>
    <w:rsid w:val="007C5574"/>
    <w:rsid w:val="007C7F22"/>
    <w:rsid w:val="007D0D62"/>
    <w:rsid w:val="007D27A4"/>
    <w:rsid w:val="007D3D34"/>
    <w:rsid w:val="007D5440"/>
    <w:rsid w:val="007D688F"/>
    <w:rsid w:val="007D7682"/>
    <w:rsid w:val="007E4299"/>
    <w:rsid w:val="007E6F7E"/>
    <w:rsid w:val="007F2CEB"/>
    <w:rsid w:val="007F45F1"/>
    <w:rsid w:val="007F7544"/>
    <w:rsid w:val="008022EF"/>
    <w:rsid w:val="008028DC"/>
    <w:rsid w:val="00803174"/>
    <w:rsid w:val="00803226"/>
    <w:rsid w:val="0080417E"/>
    <w:rsid w:val="00806D3F"/>
    <w:rsid w:val="00806EBF"/>
    <w:rsid w:val="008110E8"/>
    <w:rsid w:val="00811E0D"/>
    <w:rsid w:val="008146AE"/>
    <w:rsid w:val="00814D86"/>
    <w:rsid w:val="00815E06"/>
    <w:rsid w:val="00816880"/>
    <w:rsid w:val="008177F3"/>
    <w:rsid w:val="00820C8B"/>
    <w:rsid w:val="00820DED"/>
    <w:rsid w:val="00822783"/>
    <w:rsid w:val="008252C6"/>
    <w:rsid w:val="00826718"/>
    <w:rsid w:val="00826BC2"/>
    <w:rsid w:val="00826CF0"/>
    <w:rsid w:val="008306B7"/>
    <w:rsid w:val="00830A55"/>
    <w:rsid w:val="00830D1E"/>
    <w:rsid w:val="0083121F"/>
    <w:rsid w:val="008318B2"/>
    <w:rsid w:val="00832ADE"/>
    <w:rsid w:val="00833021"/>
    <w:rsid w:val="00833F51"/>
    <w:rsid w:val="00834C31"/>
    <w:rsid w:val="0083706B"/>
    <w:rsid w:val="008407C3"/>
    <w:rsid w:val="00841556"/>
    <w:rsid w:val="00842AD3"/>
    <w:rsid w:val="00842FC4"/>
    <w:rsid w:val="00844668"/>
    <w:rsid w:val="00851AAC"/>
    <w:rsid w:val="00851CAE"/>
    <w:rsid w:val="00854721"/>
    <w:rsid w:val="00854B43"/>
    <w:rsid w:val="00861AE3"/>
    <w:rsid w:val="00865E3A"/>
    <w:rsid w:val="00866B13"/>
    <w:rsid w:val="0086713A"/>
    <w:rsid w:val="00870E5C"/>
    <w:rsid w:val="00873BE4"/>
    <w:rsid w:val="00874F8C"/>
    <w:rsid w:val="00875DA6"/>
    <w:rsid w:val="00877B9A"/>
    <w:rsid w:val="0088033B"/>
    <w:rsid w:val="008807F3"/>
    <w:rsid w:val="00881A35"/>
    <w:rsid w:val="00883095"/>
    <w:rsid w:val="00884692"/>
    <w:rsid w:val="008861B3"/>
    <w:rsid w:val="00890641"/>
    <w:rsid w:val="00895AA4"/>
    <w:rsid w:val="00897B28"/>
    <w:rsid w:val="00897F6E"/>
    <w:rsid w:val="008A50BE"/>
    <w:rsid w:val="008A5CFD"/>
    <w:rsid w:val="008A5EE6"/>
    <w:rsid w:val="008B0322"/>
    <w:rsid w:val="008B454C"/>
    <w:rsid w:val="008C0095"/>
    <w:rsid w:val="008C1501"/>
    <w:rsid w:val="008C4BE6"/>
    <w:rsid w:val="008C5C96"/>
    <w:rsid w:val="008C5ED7"/>
    <w:rsid w:val="008C70AF"/>
    <w:rsid w:val="008C7E51"/>
    <w:rsid w:val="008D096E"/>
    <w:rsid w:val="008D350C"/>
    <w:rsid w:val="008D67DC"/>
    <w:rsid w:val="008D6828"/>
    <w:rsid w:val="008D71AE"/>
    <w:rsid w:val="008D79B7"/>
    <w:rsid w:val="008E07ED"/>
    <w:rsid w:val="008E1A49"/>
    <w:rsid w:val="008E284E"/>
    <w:rsid w:val="008E34B6"/>
    <w:rsid w:val="008E6612"/>
    <w:rsid w:val="008E6D61"/>
    <w:rsid w:val="008F07C7"/>
    <w:rsid w:val="008F0D44"/>
    <w:rsid w:val="008F1B08"/>
    <w:rsid w:val="008F1E9C"/>
    <w:rsid w:val="008F436D"/>
    <w:rsid w:val="008F505A"/>
    <w:rsid w:val="008F6066"/>
    <w:rsid w:val="00901920"/>
    <w:rsid w:val="009021A9"/>
    <w:rsid w:val="009021BE"/>
    <w:rsid w:val="00903DEA"/>
    <w:rsid w:val="009046AA"/>
    <w:rsid w:val="00904EBA"/>
    <w:rsid w:val="00904F19"/>
    <w:rsid w:val="009051ED"/>
    <w:rsid w:val="00905CED"/>
    <w:rsid w:val="00905DF5"/>
    <w:rsid w:val="00906E0E"/>
    <w:rsid w:val="009074FF"/>
    <w:rsid w:val="009079EA"/>
    <w:rsid w:val="00907FA7"/>
    <w:rsid w:val="00910761"/>
    <w:rsid w:val="00912A99"/>
    <w:rsid w:val="00915574"/>
    <w:rsid w:val="00916286"/>
    <w:rsid w:val="009170F4"/>
    <w:rsid w:val="00917130"/>
    <w:rsid w:val="009177B0"/>
    <w:rsid w:val="00917C37"/>
    <w:rsid w:val="00920B8E"/>
    <w:rsid w:val="00924C54"/>
    <w:rsid w:val="00925EEB"/>
    <w:rsid w:val="00927292"/>
    <w:rsid w:val="00927979"/>
    <w:rsid w:val="00931651"/>
    <w:rsid w:val="0093183F"/>
    <w:rsid w:val="009319E3"/>
    <w:rsid w:val="00931B95"/>
    <w:rsid w:val="009338D5"/>
    <w:rsid w:val="009350D9"/>
    <w:rsid w:val="0094130D"/>
    <w:rsid w:val="009439E9"/>
    <w:rsid w:val="00943D39"/>
    <w:rsid w:val="00944162"/>
    <w:rsid w:val="0094490F"/>
    <w:rsid w:val="009457C8"/>
    <w:rsid w:val="00946D92"/>
    <w:rsid w:val="009502BC"/>
    <w:rsid w:val="00952C31"/>
    <w:rsid w:val="009574F0"/>
    <w:rsid w:val="00957686"/>
    <w:rsid w:val="00960894"/>
    <w:rsid w:val="00961FC2"/>
    <w:rsid w:val="00962CEB"/>
    <w:rsid w:val="009639A2"/>
    <w:rsid w:val="009659ED"/>
    <w:rsid w:val="00966B68"/>
    <w:rsid w:val="00971D08"/>
    <w:rsid w:val="00975C4F"/>
    <w:rsid w:val="00976B3B"/>
    <w:rsid w:val="00980185"/>
    <w:rsid w:val="00980A2F"/>
    <w:rsid w:val="00981765"/>
    <w:rsid w:val="009817E8"/>
    <w:rsid w:val="0098197D"/>
    <w:rsid w:val="00982698"/>
    <w:rsid w:val="0098283B"/>
    <w:rsid w:val="0099076A"/>
    <w:rsid w:val="009924BF"/>
    <w:rsid w:val="009927AB"/>
    <w:rsid w:val="00996408"/>
    <w:rsid w:val="009A03A2"/>
    <w:rsid w:val="009A10A7"/>
    <w:rsid w:val="009A158F"/>
    <w:rsid w:val="009A1F68"/>
    <w:rsid w:val="009A43E1"/>
    <w:rsid w:val="009A5100"/>
    <w:rsid w:val="009A5219"/>
    <w:rsid w:val="009A6284"/>
    <w:rsid w:val="009A7469"/>
    <w:rsid w:val="009B066F"/>
    <w:rsid w:val="009B0DA1"/>
    <w:rsid w:val="009B4AC0"/>
    <w:rsid w:val="009B580C"/>
    <w:rsid w:val="009C06AE"/>
    <w:rsid w:val="009C1BB0"/>
    <w:rsid w:val="009C328E"/>
    <w:rsid w:val="009C5974"/>
    <w:rsid w:val="009C7CB9"/>
    <w:rsid w:val="009C7F70"/>
    <w:rsid w:val="009C7FA7"/>
    <w:rsid w:val="009D0B5C"/>
    <w:rsid w:val="009D4E2C"/>
    <w:rsid w:val="009D6E9C"/>
    <w:rsid w:val="009D74D4"/>
    <w:rsid w:val="009D74E0"/>
    <w:rsid w:val="009D778A"/>
    <w:rsid w:val="009E34C6"/>
    <w:rsid w:val="009E4C89"/>
    <w:rsid w:val="009E7890"/>
    <w:rsid w:val="009F0116"/>
    <w:rsid w:val="009F06C4"/>
    <w:rsid w:val="009F0886"/>
    <w:rsid w:val="009F166A"/>
    <w:rsid w:val="009F1E72"/>
    <w:rsid w:val="009F3319"/>
    <w:rsid w:val="009F44C1"/>
    <w:rsid w:val="009F5104"/>
    <w:rsid w:val="009F716B"/>
    <w:rsid w:val="00A00DEC"/>
    <w:rsid w:val="00A07936"/>
    <w:rsid w:val="00A07D2A"/>
    <w:rsid w:val="00A07EC9"/>
    <w:rsid w:val="00A118FB"/>
    <w:rsid w:val="00A13644"/>
    <w:rsid w:val="00A13AF9"/>
    <w:rsid w:val="00A157B7"/>
    <w:rsid w:val="00A167F1"/>
    <w:rsid w:val="00A20F4D"/>
    <w:rsid w:val="00A21390"/>
    <w:rsid w:val="00A21686"/>
    <w:rsid w:val="00A22FA2"/>
    <w:rsid w:val="00A25055"/>
    <w:rsid w:val="00A260B4"/>
    <w:rsid w:val="00A27508"/>
    <w:rsid w:val="00A27C83"/>
    <w:rsid w:val="00A27D37"/>
    <w:rsid w:val="00A3390B"/>
    <w:rsid w:val="00A33AFB"/>
    <w:rsid w:val="00A3408B"/>
    <w:rsid w:val="00A351E5"/>
    <w:rsid w:val="00A35719"/>
    <w:rsid w:val="00A368A5"/>
    <w:rsid w:val="00A40D22"/>
    <w:rsid w:val="00A42771"/>
    <w:rsid w:val="00A45995"/>
    <w:rsid w:val="00A465B4"/>
    <w:rsid w:val="00A46A84"/>
    <w:rsid w:val="00A46DFA"/>
    <w:rsid w:val="00A46EFB"/>
    <w:rsid w:val="00A471D6"/>
    <w:rsid w:val="00A47724"/>
    <w:rsid w:val="00A47BF8"/>
    <w:rsid w:val="00A503C9"/>
    <w:rsid w:val="00A52808"/>
    <w:rsid w:val="00A540F3"/>
    <w:rsid w:val="00A5550E"/>
    <w:rsid w:val="00A6165B"/>
    <w:rsid w:val="00A622EF"/>
    <w:rsid w:val="00A6433E"/>
    <w:rsid w:val="00A646FD"/>
    <w:rsid w:val="00A6525F"/>
    <w:rsid w:val="00A65AAD"/>
    <w:rsid w:val="00A7152C"/>
    <w:rsid w:val="00A72128"/>
    <w:rsid w:val="00A7214F"/>
    <w:rsid w:val="00A73CA7"/>
    <w:rsid w:val="00A74B53"/>
    <w:rsid w:val="00A74CC7"/>
    <w:rsid w:val="00A772D8"/>
    <w:rsid w:val="00A8039C"/>
    <w:rsid w:val="00A81532"/>
    <w:rsid w:val="00A854F5"/>
    <w:rsid w:val="00A8653E"/>
    <w:rsid w:val="00A91196"/>
    <w:rsid w:val="00A923CA"/>
    <w:rsid w:val="00A931A7"/>
    <w:rsid w:val="00A9430D"/>
    <w:rsid w:val="00A94474"/>
    <w:rsid w:val="00A96F44"/>
    <w:rsid w:val="00A977DF"/>
    <w:rsid w:val="00AA108B"/>
    <w:rsid w:val="00AA3FE1"/>
    <w:rsid w:val="00AA5DA9"/>
    <w:rsid w:val="00AB068A"/>
    <w:rsid w:val="00AB0D20"/>
    <w:rsid w:val="00AB1249"/>
    <w:rsid w:val="00AB3B78"/>
    <w:rsid w:val="00AB412E"/>
    <w:rsid w:val="00AB482C"/>
    <w:rsid w:val="00AB5F28"/>
    <w:rsid w:val="00AC32EA"/>
    <w:rsid w:val="00AC4EDE"/>
    <w:rsid w:val="00AC678E"/>
    <w:rsid w:val="00AC7928"/>
    <w:rsid w:val="00AD0A7D"/>
    <w:rsid w:val="00AD1920"/>
    <w:rsid w:val="00AD4EF9"/>
    <w:rsid w:val="00AD509D"/>
    <w:rsid w:val="00AD7FCF"/>
    <w:rsid w:val="00AE3211"/>
    <w:rsid w:val="00AE4BA4"/>
    <w:rsid w:val="00AF11B1"/>
    <w:rsid w:val="00AF1BC8"/>
    <w:rsid w:val="00AF361F"/>
    <w:rsid w:val="00AF379E"/>
    <w:rsid w:val="00AF6338"/>
    <w:rsid w:val="00B00B31"/>
    <w:rsid w:val="00B01534"/>
    <w:rsid w:val="00B05023"/>
    <w:rsid w:val="00B06803"/>
    <w:rsid w:val="00B13D69"/>
    <w:rsid w:val="00B14A6C"/>
    <w:rsid w:val="00B15BD0"/>
    <w:rsid w:val="00B20404"/>
    <w:rsid w:val="00B2079D"/>
    <w:rsid w:val="00B219D5"/>
    <w:rsid w:val="00B26210"/>
    <w:rsid w:val="00B26FB4"/>
    <w:rsid w:val="00B27582"/>
    <w:rsid w:val="00B306C2"/>
    <w:rsid w:val="00B30EC8"/>
    <w:rsid w:val="00B32730"/>
    <w:rsid w:val="00B34EBA"/>
    <w:rsid w:val="00B36BB2"/>
    <w:rsid w:val="00B415EC"/>
    <w:rsid w:val="00B42B98"/>
    <w:rsid w:val="00B4367E"/>
    <w:rsid w:val="00B43D8A"/>
    <w:rsid w:val="00B44302"/>
    <w:rsid w:val="00B450DA"/>
    <w:rsid w:val="00B456D8"/>
    <w:rsid w:val="00B46D1E"/>
    <w:rsid w:val="00B47D87"/>
    <w:rsid w:val="00B53F70"/>
    <w:rsid w:val="00B609FD"/>
    <w:rsid w:val="00B615C8"/>
    <w:rsid w:val="00B63C09"/>
    <w:rsid w:val="00B63E85"/>
    <w:rsid w:val="00B64C79"/>
    <w:rsid w:val="00B64D83"/>
    <w:rsid w:val="00B64F97"/>
    <w:rsid w:val="00B65F8C"/>
    <w:rsid w:val="00B705C3"/>
    <w:rsid w:val="00B70862"/>
    <w:rsid w:val="00B72E24"/>
    <w:rsid w:val="00B7331B"/>
    <w:rsid w:val="00B74E7A"/>
    <w:rsid w:val="00B75D8F"/>
    <w:rsid w:val="00B76322"/>
    <w:rsid w:val="00B770A5"/>
    <w:rsid w:val="00B775B8"/>
    <w:rsid w:val="00B77C74"/>
    <w:rsid w:val="00B834E4"/>
    <w:rsid w:val="00B8406B"/>
    <w:rsid w:val="00B8579E"/>
    <w:rsid w:val="00B86294"/>
    <w:rsid w:val="00B86EFD"/>
    <w:rsid w:val="00B901DE"/>
    <w:rsid w:val="00B932D1"/>
    <w:rsid w:val="00B94230"/>
    <w:rsid w:val="00B95180"/>
    <w:rsid w:val="00B966A1"/>
    <w:rsid w:val="00B967E0"/>
    <w:rsid w:val="00B96FB4"/>
    <w:rsid w:val="00BA4303"/>
    <w:rsid w:val="00BA59DB"/>
    <w:rsid w:val="00BA6978"/>
    <w:rsid w:val="00BA6F0A"/>
    <w:rsid w:val="00BA761A"/>
    <w:rsid w:val="00BB1695"/>
    <w:rsid w:val="00BB2990"/>
    <w:rsid w:val="00BB39C6"/>
    <w:rsid w:val="00BB482C"/>
    <w:rsid w:val="00BB53A5"/>
    <w:rsid w:val="00BB70E5"/>
    <w:rsid w:val="00BC05FD"/>
    <w:rsid w:val="00BC0AC2"/>
    <w:rsid w:val="00BC2CCF"/>
    <w:rsid w:val="00BC3C06"/>
    <w:rsid w:val="00BC477C"/>
    <w:rsid w:val="00BC5D57"/>
    <w:rsid w:val="00BD010E"/>
    <w:rsid w:val="00BD1304"/>
    <w:rsid w:val="00BD2DA7"/>
    <w:rsid w:val="00BD3858"/>
    <w:rsid w:val="00BD443C"/>
    <w:rsid w:val="00BD6B32"/>
    <w:rsid w:val="00BE1B0E"/>
    <w:rsid w:val="00BE1D85"/>
    <w:rsid w:val="00BE24C2"/>
    <w:rsid w:val="00BE41D2"/>
    <w:rsid w:val="00BE71E3"/>
    <w:rsid w:val="00BF062E"/>
    <w:rsid w:val="00BF0BC7"/>
    <w:rsid w:val="00BF607A"/>
    <w:rsid w:val="00BF7413"/>
    <w:rsid w:val="00C01005"/>
    <w:rsid w:val="00C04B4F"/>
    <w:rsid w:val="00C0635E"/>
    <w:rsid w:val="00C1056C"/>
    <w:rsid w:val="00C11834"/>
    <w:rsid w:val="00C11D01"/>
    <w:rsid w:val="00C154ED"/>
    <w:rsid w:val="00C17B4F"/>
    <w:rsid w:val="00C17BF1"/>
    <w:rsid w:val="00C17D90"/>
    <w:rsid w:val="00C2125A"/>
    <w:rsid w:val="00C22DFB"/>
    <w:rsid w:val="00C30265"/>
    <w:rsid w:val="00C33843"/>
    <w:rsid w:val="00C35B69"/>
    <w:rsid w:val="00C401B1"/>
    <w:rsid w:val="00C4064A"/>
    <w:rsid w:val="00C419CB"/>
    <w:rsid w:val="00C43B02"/>
    <w:rsid w:val="00C43BB2"/>
    <w:rsid w:val="00C445EF"/>
    <w:rsid w:val="00C45651"/>
    <w:rsid w:val="00C45CCC"/>
    <w:rsid w:val="00C50375"/>
    <w:rsid w:val="00C52971"/>
    <w:rsid w:val="00C5498B"/>
    <w:rsid w:val="00C57CC3"/>
    <w:rsid w:val="00C609E9"/>
    <w:rsid w:val="00C611DD"/>
    <w:rsid w:val="00C70743"/>
    <w:rsid w:val="00C710BD"/>
    <w:rsid w:val="00C739FF"/>
    <w:rsid w:val="00C75064"/>
    <w:rsid w:val="00C8155C"/>
    <w:rsid w:val="00C8267B"/>
    <w:rsid w:val="00C82FD3"/>
    <w:rsid w:val="00C831E1"/>
    <w:rsid w:val="00C85829"/>
    <w:rsid w:val="00C8622B"/>
    <w:rsid w:val="00C9150A"/>
    <w:rsid w:val="00C91CF3"/>
    <w:rsid w:val="00C92D6A"/>
    <w:rsid w:val="00C94918"/>
    <w:rsid w:val="00C957B0"/>
    <w:rsid w:val="00C959DF"/>
    <w:rsid w:val="00C95A22"/>
    <w:rsid w:val="00C97680"/>
    <w:rsid w:val="00CA2A87"/>
    <w:rsid w:val="00CB323B"/>
    <w:rsid w:val="00CB45B9"/>
    <w:rsid w:val="00CB509B"/>
    <w:rsid w:val="00CB5E5B"/>
    <w:rsid w:val="00CB6911"/>
    <w:rsid w:val="00CC2424"/>
    <w:rsid w:val="00CC31E3"/>
    <w:rsid w:val="00CC632A"/>
    <w:rsid w:val="00CD1AAA"/>
    <w:rsid w:val="00CD2983"/>
    <w:rsid w:val="00CD6660"/>
    <w:rsid w:val="00CE0CC8"/>
    <w:rsid w:val="00CE2B86"/>
    <w:rsid w:val="00CE3962"/>
    <w:rsid w:val="00CE5D93"/>
    <w:rsid w:val="00CE6624"/>
    <w:rsid w:val="00CF056D"/>
    <w:rsid w:val="00CF2D13"/>
    <w:rsid w:val="00CF32D8"/>
    <w:rsid w:val="00CF3770"/>
    <w:rsid w:val="00CF4B95"/>
    <w:rsid w:val="00CF4E9D"/>
    <w:rsid w:val="00CF5E99"/>
    <w:rsid w:val="00D04103"/>
    <w:rsid w:val="00D04CD7"/>
    <w:rsid w:val="00D0565F"/>
    <w:rsid w:val="00D076D3"/>
    <w:rsid w:val="00D07DAD"/>
    <w:rsid w:val="00D1003C"/>
    <w:rsid w:val="00D14096"/>
    <w:rsid w:val="00D1443E"/>
    <w:rsid w:val="00D16B23"/>
    <w:rsid w:val="00D2016C"/>
    <w:rsid w:val="00D2121D"/>
    <w:rsid w:val="00D23A84"/>
    <w:rsid w:val="00D23EAD"/>
    <w:rsid w:val="00D25CC9"/>
    <w:rsid w:val="00D26CCE"/>
    <w:rsid w:val="00D33162"/>
    <w:rsid w:val="00D34186"/>
    <w:rsid w:val="00D34460"/>
    <w:rsid w:val="00D34BB3"/>
    <w:rsid w:val="00D35A06"/>
    <w:rsid w:val="00D41FF4"/>
    <w:rsid w:val="00D427CE"/>
    <w:rsid w:val="00D445F8"/>
    <w:rsid w:val="00D516A9"/>
    <w:rsid w:val="00D526B3"/>
    <w:rsid w:val="00D54A2D"/>
    <w:rsid w:val="00D700A6"/>
    <w:rsid w:val="00D71E61"/>
    <w:rsid w:val="00D736E4"/>
    <w:rsid w:val="00D7383F"/>
    <w:rsid w:val="00D7434C"/>
    <w:rsid w:val="00D75BB1"/>
    <w:rsid w:val="00D7619F"/>
    <w:rsid w:val="00D8441F"/>
    <w:rsid w:val="00D846C7"/>
    <w:rsid w:val="00D87F57"/>
    <w:rsid w:val="00D903B1"/>
    <w:rsid w:val="00D90C34"/>
    <w:rsid w:val="00D90F9E"/>
    <w:rsid w:val="00D910C7"/>
    <w:rsid w:val="00D924E3"/>
    <w:rsid w:val="00D93200"/>
    <w:rsid w:val="00D94F2C"/>
    <w:rsid w:val="00D95A58"/>
    <w:rsid w:val="00D95BD9"/>
    <w:rsid w:val="00D96B8F"/>
    <w:rsid w:val="00DA1569"/>
    <w:rsid w:val="00DA1B25"/>
    <w:rsid w:val="00DB13BE"/>
    <w:rsid w:val="00DB3C33"/>
    <w:rsid w:val="00DB5DD5"/>
    <w:rsid w:val="00DB7CC9"/>
    <w:rsid w:val="00DC18D0"/>
    <w:rsid w:val="00DC1C57"/>
    <w:rsid w:val="00DC212B"/>
    <w:rsid w:val="00DC3C09"/>
    <w:rsid w:val="00DC4389"/>
    <w:rsid w:val="00DD1AE6"/>
    <w:rsid w:val="00DD1B91"/>
    <w:rsid w:val="00DD4039"/>
    <w:rsid w:val="00DD6272"/>
    <w:rsid w:val="00DD66F3"/>
    <w:rsid w:val="00DD7040"/>
    <w:rsid w:val="00DD770B"/>
    <w:rsid w:val="00DE31F4"/>
    <w:rsid w:val="00DE7DAB"/>
    <w:rsid w:val="00DF03B4"/>
    <w:rsid w:val="00E01450"/>
    <w:rsid w:val="00E02185"/>
    <w:rsid w:val="00E02323"/>
    <w:rsid w:val="00E02985"/>
    <w:rsid w:val="00E03982"/>
    <w:rsid w:val="00E03B1C"/>
    <w:rsid w:val="00E078A6"/>
    <w:rsid w:val="00E07960"/>
    <w:rsid w:val="00E10187"/>
    <w:rsid w:val="00E118F1"/>
    <w:rsid w:val="00E11E33"/>
    <w:rsid w:val="00E12A79"/>
    <w:rsid w:val="00E13EC8"/>
    <w:rsid w:val="00E1404F"/>
    <w:rsid w:val="00E16ECE"/>
    <w:rsid w:val="00E231C4"/>
    <w:rsid w:val="00E23F82"/>
    <w:rsid w:val="00E26BFD"/>
    <w:rsid w:val="00E26E95"/>
    <w:rsid w:val="00E26F5B"/>
    <w:rsid w:val="00E27DD6"/>
    <w:rsid w:val="00E33E3F"/>
    <w:rsid w:val="00E34541"/>
    <w:rsid w:val="00E34ABE"/>
    <w:rsid w:val="00E3541E"/>
    <w:rsid w:val="00E35B8D"/>
    <w:rsid w:val="00E3612F"/>
    <w:rsid w:val="00E37E41"/>
    <w:rsid w:val="00E41D1E"/>
    <w:rsid w:val="00E4271D"/>
    <w:rsid w:val="00E42C56"/>
    <w:rsid w:val="00E44233"/>
    <w:rsid w:val="00E4704C"/>
    <w:rsid w:val="00E50F78"/>
    <w:rsid w:val="00E5220A"/>
    <w:rsid w:val="00E52DEF"/>
    <w:rsid w:val="00E52F58"/>
    <w:rsid w:val="00E55D31"/>
    <w:rsid w:val="00E56654"/>
    <w:rsid w:val="00E567E6"/>
    <w:rsid w:val="00E60F93"/>
    <w:rsid w:val="00E60FC9"/>
    <w:rsid w:val="00E64B7D"/>
    <w:rsid w:val="00E70A5E"/>
    <w:rsid w:val="00E71984"/>
    <w:rsid w:val="00E7206C"/>
    <w:rsid w:val="00E7206D"/>
    <w:rsid w:val="00E72884"/>
    <w:rsid w:val="00E72F4D"/>
    <w:rsid w:val="00E739B2"/>
    <w:rsid w:val="00E8015B"/>
    <w:rsid w:val="00E80578"/>
    <w:rsid w:val="00E80C0D"/>
    <w:rsid w:val="00E8121F"/>
    <w:rsid w:val="00E827A2"/>
    <w:rsid w:val="00E846C7"/>
    <w:rsid w:val="00E85AA4"/>
    <w:rsid w:val="00E867E6"/>
    <w:rsid w:val="00E87FDB"/>
    <w:rsid w:val="00E90273"/>
    <w:rsid w:val="00E9051B"/>
    <w:rsid w:val="00E9539F"/>
    <w:rsid w:val="00E957F8"/>
    <w:rsid w:val="00E96417"/>
    <w:rsid w:val="00E96789"/>
    <w:rsid w:val="00E970C3"/>
    <w:rsid w:val="00EA05A1"/>
    <w:rsid w:val="00EA1A8D"/>
    <w:rsid w:val="00EA2748"/>
    <w:rsid w:val="00EA3AD1"/>
    <w:rsid w:val="00EA45DA"/>
    <w:rsid w:val="00EB19E0"/>
    <w:rsid w:val="00EB263F"/>
    <w:rsid w:val="00EB2FF0"/>
    <w:rsid w:val="00EB504E"/>
    <w:rsid w:val="00EB52BD"/>
    <w:rsid w:val="00EC003D"/>
    <w:rsid w:val="00EC0442"/>
    <w:rsid w:val="00EC07DB"/>
    <w:rsid w:val="00EC1A2E"/>
    <w:rsid w:val="00EC5D92"/>
    <w:rsid w:val="00EC66F0"/>
    <w:rsid w:val="00ED0623"/>
    <w:rsid w:val="00ED1698"/>
    <w:rsid w:val="00ED1F32"/>
    <w:rsid w:val="00ED28EA"/>
    <w:rsid w:val="00ED4217"/>
    <w:rsid w:val="00ED71B3"/>
    <w:rsid w:val="00ED7780"/>
    <w:rsid w:val="00ED7BDD"/>
    <w:rsid w:val="00EE18F0"/>
    <w:rsid w:val="00EE2BAA"/>
    <w:rsid w:val="00EE3884"/>
    <w:rsid w:val="00EE4B92"/>
    <w:rsid w:val="00EE6ED1"/>
    <w:rsid w:val="00EE6FA0"/>
    <w:rsid w:val="00EE7087"/>
    <w:rsid w:val="00EF15CC"/>
    <w:rsid w:val="00EF1E7D"/>
    <w:rsid w:val="00EF2D15"/>
    <w:rsid w:val="00EF48B6"/>
    <w:rsid w:val="00EF4B28"/>
    <w:rsid w:val="00EF5D7F"/>
    <w:rsid w:val="00EF6586"/>
    <w:rsid w:val="00EF6A7E"/>
    <w:rsid w:val="00F003CB"/>
    <w:rsid w:val="00F02DCB"/>
    <w:rsid w:val="00F03E5A"/>
    <w:rsid w:val="00F05927"/>
    <w:rsid w:val="00F20625"/>
    <w:rsid w:val="00F23433"/>
    <w:rsid w:val="00F2387D"/>
    <w:rsid w:val="00F2413E"/>
    <w:rsid w:val="00F24E55"/>
    <w:rsid w:val="00F26C5A"/>
    <w:rsid w:val="00F27C46"/>
    <w:rsid w:val="00F309F6"/>
    <w:rsid w:val="00F31E4B"/>
    <w:rsid w:val="00F3260D"/>
    <w:rsid w:val="00F34CAD"/>
    <w:rsid w:val="00F354A9"/>
    <w:rsid w:val="00F375A9"/>
    <w:rsid w:val="00F375C0"/>
    <w:rsid w:val="00F37621"/>
    <w:rsid w:val="00F37DE4"/>
    <w:rsid w:val="00F438E5"/>
    <w:rsid w:val="00F45BF4"/>
    <w:rsid w:val="00F46AC5"/>
    <w:rsid w:val="00F472A4"/>
    <w:rsid w:val="00F5067C"/>
    <w:rsid w:val="00F507C9"/>
    <w:rsid w:val="00F50ECE"/>
    <w:rsid w:val="00F538DC"/>
    <w:rsid w:val="00F53C84"/>
    <w:rsid w:val="00F5461C"/>
    <w:rsid w:val="00F55BB6"/>
    <w:rsid w:val="00F57202"/>
    <w:rsid w:val="00F6315C"/>
    <w:rsid w:val="00F65443"/>
    <w:rsid w:val="00F70233"/>
    <w:rsid w:val="00F70D33"/>
    <w:rsid w:val="00F71824"/>
    <w:rsid w:val="00F74127"/>
    <w:rsid w:val="00F7495C"/>
    <w:rsid w:val="00F75432"/>
    <w:rsid w:val="00F77536"/>
    <w:rsid w:val="00F80D41"/>
    <w:rsid w:val="00F8227A"/>
    <w:rsid w:val="00F82893"/>
    <w:rsid w:val="00F85CB7"/>
    <w:rsid w:val="00F93BC5"/>
    <w:rsid w:val="00F94880"/>
    <w:rsid w:val="00FA1241"/>
    <w:rsid w:val="00FA1F1D"/>
    <w:rsid w:val="00FA1F29"/>
    <w:rsid w:val="00FA2D01"/>
    <w:rsid w:val="00FA3C56"/>
    <w:rsid w:val="00FA56A1"/>
    <w:rsid w:val="00FA5CC6"/>
    <w:rsid w:val="00FA6003"/>
    <w:rsid w:val="00FA7636"/>
    <w:rsid w:val="00FA7F5D"/>
    <w:rsid w:val="00FB0ADA"/>
    <w:rsid w:val="00FB42DC"/>
    <w:rsid w:val="00FC0DE2"/>
    <w:rsid w:val="00FC0F42"/>
    <w:rsid w:val="00FC50B9"/>
    <w:rsid w:val="00FD12FB"/>
    <w:rsid w:val="00FD161E"/>
    <w:rsid w:val="00FD454F"/>
    <w:rsid w:val="00FD676E"/>
    <w:rsid w:val="00FD7C0C"/>
    <w:rsid w:val="00FE7B69"/>
    <w:rsid w:val="00FF131F"/>
    <w:rsid w:val="00FF2254"/>
    <w:rsid w:val="00FF2752"/>
    <w:rsid w:val="00FF5A70"/>
    <w:rsid w:val="00FF6F42"/>
    <w:rsid w:val="00FF7848"/>
    <w:rsid w:val="00FF7C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58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F6586"/>
    <w:rPr>
      <w:b/>
      <w:bCs/>
    </w:rPr>
  </w:style>
</w:styles>
</file>

<file path=word/webSettings.xml><?xml version="1.0" encoding="utf-8"?>
<w:webSettings xmlns:r="http://schemas.openxmlformats.org/officeDocument/2006/relationships" xmlns:w="http://schemas.openxmlformats.org/wordprocessingml/2006/main">
  <w:divs>
    <w:div w:id="20386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李茜</dc:creator>
  <cp:lastModifiedBy>李茜</cp:lastModifiedBy>
  <cp:revision>1</cp:revision>
  <dcterms:created xsi:type="dcterms:W3CDTF">2019-09-17T10:01:00Z</dcterms:created>
  <dcterms:modified xsi:type="dcterms:W3CDTF">2019-09-17T10:01:00Z</dcterms:modified>
</cp:coreProperties>
</file>